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8A44B" w14:textId="77777777" w:rsidR="00404C81" w:rsidRDefault="00404C81" w:rsidP="00DF2D9D">
      <w:pPr>
        <w:jc w:val="center"/>
        <w:rPr>
          <w:rFonts w:cs="Arial"/>
        </w:rPr>
      </w:pPr>
    </w:p>
    <w:p w14:paraId="50E3B5E0" w14:textId="77777777" w:rsidR="00363E9A" w:rsidRDefault="00363E9A" w:rsidP="00DF2D9D">
      <w:pPr>
        <w:jc w:val="center"/>
        <w:rPr>
          <w:rFonts w:cs="Arial"/>
        </w:rPr>
      </w:pPr>
    </w:p>
    <w:p w14:paraId="4AC52A0A" w14:textId="77777777" w:rsidR="00363E9A" w:rsidRDefault="00363E9A" w:rsidP="00DF2D9D">
      <w:pPr>
        <w:jc w:val="center"/>
        <w:rPr>
          <w:rFonts w:cs="Arial"/>
        </w:rPr>
      </w:pPr>
    </w:p>
    <w:p w14:paraId="08EAAF68" w14:textId="77777777" w:rsidR="00363E9A" w:rsidRDefault="00363E9A" w:rsidP="00DF2D9D">
      <w:pPr>
        <w:jc w:val="center"/>
        <w:rPr>
          <w:rFonts w:cs="Arial"/>
        </w:rPr>
      </w:pPr>
    </w:p>
    <w:p w14:paraId="2E57E03B" w14:textId="77777777" w:rsidR="00363E9A" w:rsidRPr="009A3FEF" w:rsidRDefault="009A3FEF" w:rsidP="00DF2D9D">
      <w:pPr>
        <w:jc w:val="center"/>
        <w:rPr>
          <w:rFonts w:cs="Arial"/>
          <w:sz w:val="32"/>
          <w:szCs w:val="32"/>
        </w:rPr>
      </w:pPr>
      <w:r w:rsidRPr="009A3FEF">
        <w:rPr>
          <w:rFonts w:cs="Arial"/>
          <w:sz w:val="32"/>
          <w:szCs w:val="32"/>
        </w:rPr>
        <w:t>LR-ACT USING HEMOCHRON SIGNATURE ELITE</w:t>
      </w:r>
    </w:p>
    <w:p w14:paraId="7C41FACA" w14:textId="77777777" w:rsidR="000D24AC" w:rsidRPr="00404C81" w:rsidRDefault="000D24AC" w:rsidP="00DF2D9D">
      <w:pPr>
        <w:jc w:val="center"/>
        <w:rPr>
          <w:rFonts w:cs="Arial"/>
        </w:rPr>
      </w:pPr>
    </w:p>
    <w:p w14:paraId="0A3F22E7" w14:textId="77777777" w:rsidR="000D24AC" w:rsidRPr="00404C81" w:rsidRDefault="000D24AC" w:rsidP="00DF2D9D">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5704"/>
      </w:tblGrid>
      <w:tr w:rsidR="000D24AC" w:rsidRPr="00404C81" w14:paraId="1B0803EE" w14:textId="77777777">
        <w:trPr>
          <w:trHeight w:val="737"/>
        </w:trPr>
        <w:tc>
          <w:tcPr>
            <w:tcW w:w="3287" w:type="dxa"/>
            <w:vAlign w:val="center"/>
          </w:tcPr>
          <w:p w14:paraId="332AB3C9" w14:textId="77777777" w:rsidR="000D24AC" w:rsidRPr="00404C81" w:rsidRDefault="009C0778" w:rsidP="00DF2D9D">
            <w:pPr>
              <w:pStyle w:val="Header"/>
              <w:jc w:val="both"/>
              <w:rPr>
                <w:rFonts w:cs="Arial"/>
                <w:sz w:val="24"/>
              </w:rPr>
            </w:pPr>
            <w:r>
              <w:rPr>
                <w:rFonts w:cs="Arial"/>
                <w:sz w:val="24"/>
              </w:rPr>
              <w:t>Document Author</w:t>
            </w:r>
          </w:p>
        </w:tc>
        <w:tc>
          <w:tcPr>
            <w:tcW w:w="5704" w:type="dxa"/>
            <w:vAlign w:val="center"/>
          </w:tcPr>
          <w:p w14:paraId="084004E2" w14:textId="77777777" w:rsidR="000D24AC" w:rsidRPr="009A3FEF" w:rsidRDefault="009A3FEF" w:rsidP="00FE3F49">
            <w:pPr>
              <w:pStyle w:val="Header"/>
              <w:jc w:val="both"/>
              <w:rPr>
                <w:rFonts w:cs="Arial"/>
                <w:sz w:val="24"/>
              </w:rPr>
            </w:pPr>
            <w:r w:rsidRPr="009A3FEF">
              <w:rPr>
                <w:rFonts w:cs="Arial"/>
                <w:sz w:val="24"/>
                <w:szCs w:val="24"/>
              </w:rPr>
              <w:t>Jane Mason</w:t>
            </w:r>
          </w:p>
        </w:tc>
      </w:tr>
      <w:tr w:rsidR="000D24AC" w:rsidRPr="00404C81" w14:paraId="621E1307" w14:textId="77777777">
        <w:trPr>
          <w:trHeight w:val="737"/>
        </w:trPr>
        <w:tc>
          <w:tcPr>
            <w:tcW w:w="3287" w:type="dxa"/>
            <w:vAlign w:val="center"/>
          </w:tcPr>
          <w:p w14:paraId="1D8B9349" w14:textId="77777777" w:rsidR="000D24AC" w:rsidRPr="00404C81" w:rsidRDefault="009C0778" w:rsidP="00DF2D9D">
            <w:pPr>
              <w:pStyle w:val="Header"/>
              <w:jc w:val="both"/>
              <w:rPr>
                <w:rFonts w:cs="Arial"/>
                <w:sz w:val="24"/>
              </w:rPr>
            </w:pPr>
            <w:r>
              <w:rPr>
                <w:rFonts w:cs="Arial"/>
                <w:sz w:val="24"/>
              </w:rPr>
              <w:t>Document Owner</w:t>
            </w:r>
          </w:p>
        </w:tc>
        <w:tc>
          <w:tcPr>
            <w:tcW w:w="5704" w:type="dxa"/>
            <w:vAlign w:val="center"/>
          </w:tcPr>
          <w:p w14:paraId="0E9E187C" w14:textId="77777777" w:rsidR="000D24AC" w:rsidRPr="009A3FEF" w:rsidRDefault="009A3FEF" w:rsidP="009C0778">
            <w:pPr>
              <w:pStyle w:val="Header"/>
              <w:jc w:val="both"/>
              <w:rPr>
                <w:rFonts w:cs="Arial"/>
                <w:sz w:val="24"/>
              </w:rPr>
            </w:pPr>
            <w:r w:rsidRPr="009A3FEF">
              <w:rPr>
                <w:rFonts w:cs="Arial"/>
                <w:sz w:val="24"/>
                <w:szCs w:val="24"/>
              </w:rPr>
              <w:t>Rachel Lampard</w:t>
            </w:r>
          </w:p>
        </w:tc>
      </w:tr>
      <w:tr w:rsidR="00C7143A" w:rsidRPr="00404C81" w14:paraId="163F504E" w14:textId="77777777">
        <w:trPr>
          <w:trHeight w:val="737"/>
        </w:trPr>
        <w:tc>
          <w:tcPr>
            <w:tcW w:w="3287" w:type="dxa"/>
            <w:vAlign w:val="center"/>
          </w:tcPr>
          <w:p w14:paraId="36CCE669" w14:textId="77777777" w:rsidR="00C7143A" w:rsidRPr="00404C81" w:rsidRDefault="009C0778" w:rsidP="00DF2D9D">
            <w:pPr>
              <w:pStyle w:val="Header"/>
              <w:jc w:val="both"/>
              <w:rPr>
                <w:rFonts w:cs="Arial"/>
                <w:sz w:val="24"/>
              </w:rPr>
            </w:pPr>
            <w:r>
              <w:rPr>
                <w:rFonts w:cs="Arial"/>
                <w:sz w:val="24"/>
              </w:rPr>
              <w:t>Approved By</w:t>
            </w:r>
          </w:p>
        </w:tc>
        <w:tc>
          <w:tcPr>
            <w:tcW w:w="5704" w:type="dxa"/>
            <w:vAlign w:val="center"/>
          </w:tcPr>
          <w:p w14:paraId="6DB00F13" w14:textId="77777777" w:rsidR="00C7143A" w:rsidRPr="009A3FEF" w:rsidRDefault="009A3FEF" w:rsidP="009C0778">
            <w:pPr>
              <w:pStyle w:val="Header"/>
              <w:jc w:val="both"/>
              <w:rPr>
                <w:rFonts w:cs="Arial"/>
                <w:sz w:val="24"/>
              </w:rPr>
            </w:pPr>
            <w:r w:rsidRPr="009A3FEF">
              <w:rPr>
                <w:rFonts w:cs="Arial"/>
                <w:sz w:val="24"/>
                <w:szCs w:val="24"/>
              </w:rPr>
              <w:t>Rachel Lampard</w:t>
            </w:r>
          </w:p>
        </w:tc>
      </w:tr>
      <w:tr w:rsidR="00C7143A" w:rsidRPr="00404C81" w14:paraId="5E17C55F" w14:textId="77777777">
        <w:trPr>
          <w:trHeight w:val="737"/>
        </w:trPr>
        <w:tc>
          <w:tcPr>
            <w:tcW w:w="3287" w:type="dxa"/>
            <w:vAlign w:val="center"/>
          </w:tcPr>
          <w:p w14:paraId="15F87251" w14:textId="77777777" w:rsidR="00C7143A" w:rsidRDefault="00C7143A" w:rsidP="00C7143A">
            <w:pPr>
              <w:pStyle w:val="Header"/>
              <w:jc w:val="both"/>
              <w:rPr>
                <w:rFonts w:cs="Arial"/>
                <w:sz w:val="24"/>
              </w:rPr>
            </w:pPr>
            <w:r>
              <w:rPr>
                <w:rFonts w:cs="Arial"/>
                <w:sz w:val="24"/>
              </w:rPr>
              <w:t>Review Interval</w:t>
            </w:r>
          </w:p>
        </w:tc>
        <w:tc>
          <w:tcPr>
            <w:tcW w:w="5704" w:type="dxa"/>
            <w:vAlign w:val="center"/>
          </w:tcPr>
          <w:p w14:paraId="774646D1" w14:textId="77777777" w:rsidR="00C7143A" w:rsidRPr="009A3FEF" w:rsidRDefault="009A3FEF" w:rsidP="00C7143A">
            <w:pPr>
              <w:spacing w:after="0"/>
              <w:rPr>
                <w:rFonts w:cs="Arial"/>
                <w:sz w:val="24"/>
              </w:rPr>
            </w:pPr>
            <w:r w:rsidRPr="009A3FEF">
              <w:rPr>
                <w:rFonts w:cs="Arial"/>
                <w:sz w:val="24"/>
                <w:szCs w:val="24"/>
              </w:rPr>
              <w:t>2 Years</w:t>
            </w:r>
          </w:p>
        </w:tc>
      </w:tr>
      <w:tr w:rsidR="00C7143A" w:rsidRPr="00404C81" w14:paraId="77151C53" w14:textId="77777777">
        <w:trPr>
          <w:trHeight w:val="737"/>
        </w:trPr>
        <w:tc>
          <w:tcPr>
            <w:tcW w:w="3287" w:type="dxa"/>
            <w:vAlign w:val="center"/>
          </w:tcPr>
          <w:p w14:paraId="50FBBAAE" w14:textId="77777777" w:rsidR="00C7143A" w:rsidRPr="00404C81" w:rsidRDefault="00C7143A" w:rsidP="002C5007">
            <w:pPr>
              <w:pStyle w:val="Header"/>
              <w:jc w:val="both"/>
              <w:rPr>
                <w:rFonts w:cs="Arial"/>
                <w:sz w:val="24"/>
              </w:rPr>
            </w:pPr>
            <w:r w:rsidRPr="00404C81">
              <w:rPr>
                <w:rFonts w:cs="Arial"/>
                <w:sz w:val="24"/>
              </w:rPr>
              <w:t xml:space="preserve">Location of </w:t>
            </w:r>
            <w:r w:rsidR="002C5007">
              <w:rPr>
                <w:rFonts w:cs="Arial"/>
                <w:sz w:val="24"/>
              </w:rPr>
              <w:t>C</w:t>
            </w:r>
            <w:r w:rsidRPr="00404C81">
              <w:rPr>
                <w:rFonts w:cs="Arial"/>
                <w:sz w:val="24"/>
              </w:rPr>
              <w:t>opies</w:t>
            </w:r>
          </w:p>
        </w:tc>
        <w:tc>
          <w:tcPr>
            <w:tcW w:w="5704" w:type="dxa"/>
            <w:vAlign w:val="center"/>
          </w:tcPr>
          <w:p w14:paraId="64359800" w14:textId="77777777" w:rsidR="00C7143A" w:rsidRPr="009A3FEF" w:rsidRDefault="009A3FEF" w:rsidP="002C5007">
            <w:pPr>
              <w:spacing w:after="0"/>
              <w:rPr>
                <w:rFonts w:cs="Arial"/>
                <w:sz w:val="24"/>
              </w:rPr>
            </w:pPr>
            <w:r w:rsidRPr="009A3FEF">
              <w:rPr>
                <w:rFonts w:cs="Arial"/>
                <w:sz w:val="24"/>
                <w:szCs w:val="24"/>
              </w:rPr>
              <w:t>Electronic copy stored in virtual POCT folder on Staffroom</w:t>
            </w:r>
          </w:p>
        </w:tc>
      </w:tr>
    </w:tbl>
    <w:p w14:paraId="7FECA4AB" w14:textId="77777777" w:rsidR="000D24AC" w:rsidRPr="00404C81" w:rsidRDefault="000D24AC" w:rsidP="00DF2D9D">
      <w:pPr>
        <w:rPr>
          <w:rFonts w:cs="Arial"/>
        </w:rPr>
      </w:pPr>
    </w:p>
    <w:p w14:paraId="34763287" w14:textId="77777777" w:rsidR="000D24AC" w:rsidRPr="00404C81" w:rsidRDefault="00D257AA" w:rsidP="00DF2D9D">
      <w:pPr>
        <w:rPr>
          <w:rFonts w:cs="Arial"/>
        </w:rPr>
      </w:pPr>
      <w:r>
        <w:rPr>
          <w:rFonts w:cs="Arial"/>
          <w:noProof/>
          <w:sz w:val="20"/>
          <w:lang w:eastAsia="en-GB"/>
        </w:rPr>
        <mc:AlternateContent>
          <mc:Choice Requires="wps">
            <w:drawing>
              <wp:anchor distT="0" distB="0" distL="114300" distR="114300" simplePos="0" relativeHeight="251656704" behindDoc="0" locked="0" layoutInCell="1" allowOverlap="1" wp14:anchorId="101862C9" wp14:editId="12927437">
                <wp:simplePos x="0" y="0"/>
                <wp:positionH relativeFrom="column">
                  <wp:posOffset>-47625</wp:posOffset>
                </wp:positionH>
                <wp:positionV relativeFrom="paragraph">
                  <wp:posOffset>165100</wp:posOffset>
                </wp:positionV>
                <wp:extent cx="5715000" cy="15341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34160"/>
                        </a:xfrm>
                        <a:prstGeom prst="rect">
                          <a:avLst/>
                        </a:prstGeom>
                        <a:solidFill>
                          <a:srgbClr val="FFFFFF"/>
                        </a:solidFill>
                        <a:ln w="9525">
                          <a:solidFill>
                            <a:srgbClr val="000000"/>
                          </a:solidFill>
                          <a:miter lim="800000"/>
                          <a:headEnd/>
                          <a:tailEnd/>
                        </a:ln>
                      </wps:spPr>
                      <wps:txbx>
                        <w:txbxContent>
                          <w:p w14:paraId="773B61DB" w14:textId="77777777" w:rsidR="00BA4840" w:rsidRDefault="00BA4840"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14:paraId="3C261235" w14:textId="77777777" w:rsidR="00BA4840" w:rsidRPr="009A3FEF" w:rsidRDefault="009A3FEF" w:rsidP="00C7143A">
                            <w:pPr>
                              <w:rPr>
                                <w:rFonts w:cs="Arial"/>
                                <w:b/>
                                <w:bCs/>
                                <w:sz w:val="24"/>
                                <w:szCs w:val="24"/>
                                <w:u w:val="single"/>
                              </w:rPr>
                            </w:pPr>
                            <w:r w:rsidRPr="009A3FEF">
                              <w:rPr>
                                <w:rFonts w:cs="Arial"/>
                                <w:szCs w:val="24"/>
                              </w:rPr>
                              <w:t>New Template</w:t>
                            </w:r>
                          </w:p>
                          <w:p w14:paraId="1B955AA4" w14:textId="77777777" w:rsidR="00BA4840" w:rsidRPr="00956B67" w:rsidRDefault="00BA4840" w:rsidP="00DF5D9F">
                            <w:pPr>
                              <w:rPr>
                                <w:rFonts w:cs="Arial"/>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862C9" id="_x0000_t202" coordsize="21600,21600" o:spt="202" path="m,l,21600r21600,l21600,xe">
                <v:stroke joinstyle="miter"/>
                <v:path gradientshapeok="t" o:connecttype="rect"/>
              </v:shapetype>
              <v:shape id="Text Box 2" o:spid="_x0000_s1026" type="#_x0000_t202" style="position:absolute;margin-left:-3.75pt;margin-top:13pt;width:450pt;height:12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">
                <v:textbox>
                  <w:txbxContent>
                    <w:p w14:paraId="773B61DB" w14:textId="77777777" w:rsidR="00BA4840" w:rsidRDefault="00BA4840"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14:paraId="3C261235" w14:textId="77777777" w:rsidR="00BA4840" w:rsidRPr="009A3FEF" w:rsidRDefault="009A3FEF" w:rsidP="00C7143A">
                      <w:pPr>
                        <w:rPr>
                          <w:rFonts w:cs="Arial"/>
                          <w:b/>
                          <w:bCs/>
                          <w:sz w:val="24"/>
                          <w:szCs w:val="24"/>
                          <w:u w:val="single"/>
                        </w:rPr>
                      </w:pPr>
                      <w:r w:rsidRPr="009A3FEF">
                        <w:rPr>
                          <w:rFonts w:cs="Arial"/>
                          <w:szCs w:val="24"/>
                        </w:rPr>
                        <w:t>New Template</w:t>
                      </w:r>
                    </w:p>
                    <w:p w14:paraId="1B955AA4" w14:textId="77777777" w:rsidR="00BA4840" w:rsidRPr="00956B67" w:rsidRDefault="00BA4840" w:rsidP="00DF5D9F">
                      <w:pPr>
                        <w:rPr>
                          <w:rFonts w:cs="Arial"/>
                          <w:b/>
                          <w:bCs/>
                          <w:sz w:val="24"/>
                          <w:szCs w:val="24"/>
                          <w:u w:val="single"/>
                        </w:rPr>
                      </w:pPr>
                    </w:p>
                  </w:txbxContent>
                </v:textbox>
              </v:shape>
            </w:pict>
          </mc:Fallback>
        </mc:AlternateContent>
      </w:r>
    </w:p>
    <w:p w14:paraId="357D2901" w14:textId="77777777" w:rsidR="000D24AC" w:rsidRPr="00404C81" w:rsidRDefault="000D24AC" w:rsidP="00DF2D9D">
      <w:pPr>
        <w:rPr>
          <w:rFonts w:cs="Arial"/>
        </w:rPr>
      </w:pPr>
    </w:p>
    <w:p w14:paraId="1D9ADB8A" w14:textId="77777777" w:rsidR="000D24AC" w:rsidRPr="00404C81" w:rsidRDefault="000D24AC" w:rsidP="00DF2D9D">
      <w:pPr>
        <w:rPr>
          <w:rFonts w:cs="Arial"/>
        </w:rPr>
      </w:pPr>
    </w:p>
    <w:p w14:paraId="58E4FE3F" w14:textId="77777777" w:rsidR="000D24AC" w:rsidRPr="00404C81" w:rsidRDefault="000D24AC" w:rsidP="00DF2D9D">
      <w:pPr>
        <w:rPr>
          <w:rFonts w:cs="Arial"/>
        </w:rPr>
      </w:pPr>
    </w:p>
    <w:p w14:paraId="63FA8ACE" w14:textId="77777777" w:rsidR="000D24AC" w:rsidRPr="00404C81" w:rsidRDefault="000D24AC" w:rsidP="00DF2D9D">
      <w:pPr>
        <w:rPr>
          <w:rFonts w:cs="Arial"/>
        </w:rPr>
      </w:pPr>
    </w:p>
    <w:p w14:paraId="1DABEB76" w14:textId="77777777" w:rsidR="000D24AC" w:rsidRPr="00404C81" w:rsidRDefault="000D24AC" w:rsidP="00DF2D9D">
      <w:pPr>
        <w:rPr>
          <w:rFonts w:cs="Arial"/>
        </w:rPr>
      </w:pPr>
    </w:p>
    <w:p w14:paraId="6774D38C" w14:textId="77777777" w:rsidR="000E777E" w:rsidRDefault="00F10D2E" w:rsidP="00DF2D9D">
      <w:pPr>
        <w:rPr>
          <w:rFonts w:cs="Arial"/>
        </w:rPr>
      </w:pPr>
      <w:r>
        <w:rPr>
          <w:rFonts w:cs="Arial"/>
        </w:rPr>
        <w:br w:type="page"/>
      </w:r>
    </w:p>
    <w:p w14:paraId="07E49F38" w14:textId="77777777" w:rsidR="000D24AC" w:rsidRPr="00F10D2E" w:rsidRDefault="00F10D2E" w:rsidP="00DF2D9D">
      <w:pPr>
        <w:rPr>
          <w:rFonts w:cs="Arial"/>
          <w:b/>
        </w:rPr>
      </w:pPr>
      <w:r w:rsidRPr="00F10D2E">
        <w:rPr>
          <w:rFonts w:cs="Arial"/>
          <w:b/>
        </w:rPr>
        <w:lastRenderedPageBreak/>
        <w:t>Contents:</w:t>
      </w:r>
    </w:p>
    <w:p w14:paraId="68BCD666" w14:textId="77777777" w:rsidR="002B229E" w:rsidRDefault="00B550D2">
      <w:pPr>
        <w:pStyle w:val="TOC1"/>
        <w:tabs>
          <w:tab w:val="left" w:pos="440"/>
          <w:tab w:val="right" w:leader="dot" w:pos="9628"/>
        </w:tabs>
        <w:rPr>
          <w:rFonts w:asciiTheme="minorHAnsi" w:eastAsiaTheme="minorEastAsia" w:hAnsiTheme="minorHAnsi" w:cstheme="minorBidi"/>
          <w:b w:val="0"/>
          <w:bCs w:val="0"/>
          <w:noProof/>
          <w:szCs w:val="22"/>
          <w:lang w:eastAsia="en-GB"/>
        </w:rPr>
      </w:pPr>
      <w:r>
        <w:rPr>
          <w:rFonts w:cs="Arial"/>
        </w:rPr>
        <w:fldChar w:fldCharType="begin"/>
      </w:r>
      <w:r>
        <w:rPr>
          <w:rFonts w:cs="Arial"/>
        </w:rPr>
        <w:instrText xml:space="preserve"> TOC \o "1-1" \h \z \u </w:instrText>
      </w:r>
      <w:r>
        <w:rPr>
          <w:rFonts w:cs="Arial"/>
        </w:rPr>
        <w:fldChar w:fldCharType="separate"/>
      </w:r>
      <w:hyperlink w:anchor="_Toc62677868" w:history="1">
        <w:r w:rsidR="002B229E" w:rsidRPr="00AD241A">
          <w:rPr>
            <w:rStyle w:val="Hyperlink"/>
            <w:noProof/>
          </w:rPr>
          <w:t>1</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Purpose and Principle</w:t>
        </w:r>
        <w:r w:rsidR="002B229E">
          <w:rPr>
            <w:noProof/>
            <w:webHidden/>
          </w:rPr>
          <w:tab/>
        </w:r>
        <w:r w:rsidR="002B229E">
          <w:rPr>
            <w:noProof/>
            <w:webHidden/>
          </w:rPr>
          <w:fldChar w:fldCharType="begin"/>
        </w:r>
        <w:r w:rsidR="002B229E">
          <w:rPr>
            <w:noProof/>
            <w:webHidden/>
          </w:rPr>
          <w:instrText xml:space="preserve"> PAGEREF _Toc62677868 \h </w:instrText>
        </w:r>
        <w:r w:rsidR="002B229E">
          <w:rPr>
            <w:noProof/>
            <w:webHidden/>
          </w:rPr>
        </w:r>
        <w:r w:rsidR="002B229E">
          <w:rPr>
            <w:noProof/>
            <w:webHidden/>
          </w:rPr>
          <w:fldChar w:fldCharType="separate"/>
        </w:r>
        <w:r w:rsidR="002B229E">
          <w:rPr>
            <w:noProof/>
            <w:webHidden/>
          </w:rPr>
          <w:t>2</w:t>
        </w:r>
        <w:r w:rsidR="002B229E">
          <w:rPr>
            <w:noProof/>
            <w:webHidden/>
          </w:rPr>
          <w:fldChar w:fldCharType="end"/>
        </w:r>
      </w:hyperlink>
    </w:p>
    <w:p w14:paraId="2F79E398" w14:textId="77777777" w:rsidR="002B229E" w:rsidRDefault="0025184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2677869" w:history="1">
        <w:r w:rsidR="002B229E" w:rsidRPr="00AD241A">
          <w:rPr>
            <w:rStyle w:val="Hyperlink"/>
            <w:noProof/>
          </w:rPr>
          <w:t>2</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References</w:t>
        </w:r>
        <w:r w:rsidR="002B229E">
          <w:rPr>
            <w:noProof/>
            <w:webHidden/>
          </w:rPr>
          <w:tab/>
        </w:r>
        <w:r w:rsidR="002B229E">
          <w:rPr>
            <w:noProof/>
            <w:webHidden/>
          </w:rPr>
          <w:fldChar w:fldCharType="begin"/>
        </w:r>
        <w:r w:rsidR="002B229E">
          <w:rPr>
            <w:noProof/>
            <w:webHidden/>
          </w:rPr>
          <w:instrText xml:space="preserve"> PAGEREF _Toc62677869 \h </w:instrText>
        </w:r>
        <w:r w:rsidR="002B229E">
          <w:rPr>
            <w:noProof/>
            <w:webHidden/>
          </w:rPr>
        </w:r>
        <w:r w:rsidR="002B229E">
          <w:rPr>
            <w:noProof/>
            <w:webHidden/>
          </w:rPr>
          <w:fldChar w:fldCharType="separate"/>
        </w:r>
        <w:r w:rsidR="002B229E">
          <w:rPr>
            <w:noProof/>
            <w:webHidden/>
          </w:rPr>
          <w:t>3</w:t>
        </w:r>
        <w:r w:rsidR="002B229E">
          <w:rPr>
            <w:noProof/>
            <w:webHidden/>
          </w:rPr>
          <w:fldChar w:fldCharType="end"/>
        </w:r>
      </w:hyperlink>
    </w:p>
    <w:p w14:paraId="721CFE34" w14:textId="77777777" w:rsidR="002B229E" w:rsidRDefault="0025184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2677870" w:history="1">
        <w:r w:rsidR="002B229E" w:rsidRPr="00AD241A">
          <w:rPr>
            <w:rStyle w:val="Hyperlink"/>
            <w:noProof/>
          </w:rPr>
          <w:t>3</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Equipment</w:t>
        </w:r>
        <w:r w:rsidR="002B229E">
          <w:rPr>
            <w:noProof/>
            <w:webHidden/>
          </w:rPr>
          <w:tab/>
        </w:r>
        <w:r w:rsidR="002B229E">
          <w:rPr>
            <w:noProof/>
            <w:webHidden/>
          </w:rPr>
          <w:fldChar w:fldCharType="begin"/>
        </w:r>
        <w:r w:rsidR="002B229E">
          <w:rPr>
            <w:noProof/>
            <w:webHidden/>
          </w:rPr>
          <w:instrText xml:space="preserve"> PAGEREF _Toc62677870 \h </w:instrText>
        </w:r>
        <w:r w:rsidR="002B229E">
          <w:rPr>
            <w:noProof/>
            <w:webHidden/>
          </w:rPr>
        </w:r>
        <w:r w:rsidR="002B229E">
          <w:rPr>
            <w:noProof/>
            <w:webHidden/>
          </w:rPr>
          <w:fldChar w:fldCharType="separate"/>
        </w:r>
        <w:r w:rsidR="002B229E">
          <w:rPr>
            <w:noProof/>
            <w:webHidden/>
          </w:rPr>
          <w:t>3</w:t>
        </w:r>
        <w:r w:rsidR="002B229E">
          <w:rPr>
            <w:noProof/>
            <w:webHidden/>
          </w:rPr>
          <w:fldChar w:fldCharType="end"/>
        </w:r>
      </w:hyperlink>
    </w:p>
    <w:p w14:paraId="5D5115BD" w14:textId="77777777" w:rsidR="002B229E" w:rsidRDefault="0025184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2677871" w:history="1">
        <w:r w:rsidR="002B229E" w:rsidRPr="00AD241A">
          <w:rPr>
            <w:rStyle w:val="Hyperlink"/>
            <w:noProof/>
          </w:rPr>
          <w:t>4</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Personnel Authorised to Perform Procedure</w:t>
        </w:r>
        <w:r w:rsidR="002B229E">
          <w:rPr>
            <w:noProof/>
            <w:webHidden/>
          </w:rPr>
          <w:tab/>
        </w:r>
        <w:r w:rsidR="002B229E">
          <w:rPr>
            <w:noProof/>
            <w:webHidden/>
          </w:rPr>
          <w:fldChar w:fldCharType="begin"/>
        </w:r>
        <w:r w:rsidR="002B229E">
          <w:rPr>
            <w:noProof/>
            <w:webHidden/>
          </w:rPr>
          <w:instrText xml:space="preserve"> PAGEREF _Toc62677871 \h </w:instrText>
        </w:r>
        <w:r w:rsidR="002B229E">
          <w:rPr>
            <w:noProof/>
            <w:webHidden/>
          </w:rPr>
        </w:r>
        <w:r w:rsidR="002B229E">
          <w:rPr>
            <w:noProof/>
            <w:webHidden/>
          </w:rPr>
          <w:fldChar w:fldCharType="separate"/>
        </w:r>
        <w:r w:rsidR="002B229E">
          <w:rPr>
            <w:noProof/>
            <w:webHidden/>
          </w:rPr>
          <w:t>4</w:t>
        </w:r>
        <w:r w:rsidR="002B229E">
          <w:rPr>
            <w:noProof/>
            <w:webHidden/>
          </w:rPr>
          <w:fldChar w:fldCharType="end"/>
        </w:r>
      </w:hyperlink>
    </w:p>
    <w:p w14:paraId="0ABBCF73" w14:textId="77777777" w:rsidR="002B229E" w:rsidRDefault="0025184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2677872" w:history="1">
        <w:r w:rsidR="002B229E" w:rsidRPr="00AD241A">
          <w:rPr>
            <w:rStyle w:val="Hyperlink"/>
            <w:noProof/>
          </w:rPr>
          <w:t>5</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Sample Requirements (including COSHH Risk Assessment &amp; First Aid)</w:t>
        </w:r>
        <w:r w:rsidR="002B229E">
          <w:rPr>
            <w:noProof/>
            <w:webHidden/>
          </w:rPr>
          <w:tab/>
        </w:r>
        <w:r w:rsidR="002B229E">
          <w:rPr>
            <w:noProof/>
            <w:webHidden/>
          </w:rPr>
          <w:fldChar w:fldCharType="begin"/>
        </w:r>
        <w:r w:rsidR="002B229E">
          <w:rPr>
            <w:noProof/>
            <w:webHidden/>
          </w:rPr>
          <w:instrText xml:space="preserve"> PAGEREF _Toc62677872 \h </w:instrText>
        </w:r>
        <w:r w:rsidR="002B229E">
          <w:rPr>
            <w:noProof/>
            <w:webHidden/>
          </w:rPr>
        </w:r>
        <w:r w:rsidR="002B229E">
          <w:rPr>
            <w:noProof/>
            <w:webHidden/>
          </w:rPr>
          <w:fldChar w:fldCharType="separate"/>
        </w:r>
        <w:r w:rsidR="002B229E">
          <w:rPr>
            <w:noProof/>
            <w:webHidden/>
          </w:rPr>
          <w:t>4</w:t>
        </w:r>
        <w:r w:rsidR="002B229E">
          <w:rPr>
            <w:noProof/>
            <w:webHidden/>
          </w:rPr>
          <w:fldChar w:fldCharType="end"/>
        </w:r>
      </w:hyperlink>
    </w:p>
    <w:p w14:paraId="621235CF" w14:textId="77777777" w:rsidR="002B229E" w:rsidRDefault="0025184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2677873" w:history="1">
        <w:r w:rsidR="002B229E" w:rsidRPr="00AD241A">
          <w:rPr>
            <w:rStyle w:val="Hyperlink"/>
            <w:noProof/>
          </w:rPr>
          <w:t>6</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Chemicals (including COSHH Risk Assessment &amp; First Aid)</w:t>
        </w:r>
        <w:r w:rsidR="002B229E">
          <w:rPr>
            <w:noProof/>
            <w:webHidden/>
          </w:rPr>
          <w:tab/>
        </w:r>
        <w:r w:rsidR="002B229E">
          <w:rPr>
            <w:noProof/>
            <w:webHidden/>
          </w:rPr>
          <w:fldChar w:fldCharType="begin"/>
        </w:r>
        <w:r w:rsidR="002B229E">
          <w:rPr>
            <w:noProof/>
            <w:webHidden/>
          </w:rPr>
          <w:instrText xml:space="preserve"> PAGEREF _Toc62677873 \h </w:instrText>
        </w:r>
        <w:r w:rsidR="002B229E">
          <w:rPr>
            <w:noProof/>
            <w:webHidden/>
          </w:rPr>
        </w:r>
        <w:r w:rsidR="002B229E">
          <w:rPr>
            <w:noProof/>
            <w:webHidden/>
          </w:rPr>
          <w:fldChar w:fldCharType="separate"/>
        </w:r>
        <w:r w:rsidR="002B229E">
          <w:rPr>
            <w:noProof/>
            <w:webHidden/>
          </w:rPr>
          <w:t>5</w:t>
        </w:r>
        <w:r w:rsidR="002B229E">
          <w:rPr>
            <w:noProof/>
            <w:webHidden/>
          </w:rPr>
          <w:fldChar w:fldCharType="end"/>
        </w:r>
      </w:hyperlink>
    </w:p>
    <w:p w14:paraId="6FA72787" w14:textId="77777777" w:rsidR="002B229E" w:rsidRDefault="0025184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2677874" w:history="1">
        <w:r w:rsidR="002B229E" w:rsidRPr="00AD241A">
          <w:rPr>
            <w:rStyle w:val="Hyperlink"/>
            <w:noProof/>
          </w:rPr>
          <w:t>7</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Reagents</w:t>
        </w:r>
        <w:r w:rsidR="002B229E">
          <w:rPr>
            <w:noProof/>
            <w:webHidden/>
          </w:rPr>
          <w:tab/>
        </w:r>
        <w:r w:rsidR="002B229E">
          <w:rPr>
            <w:noProof/>
            <w:webHidden/>
          </w:rPr>
          <w:fldChar w:fldCharType="begin"/>
        </w:r>
        <w:r w:rsidR="002B229E">
          <w:rPr>
            <w:noProof/>
            <w:webHidden/>
          </w:rPr>
          <w:instrText xml:space="preserve"> PAGEREF _Toc62677874 \h </w:instrText>
        </w:r>
        <w:r w:rsidR="002B229E">
          <w:rPr>
            <w:noProof/>
            <w:webHidden/>
          </w:rPr>
        </w:r>
        <w:r w:rsidR="002B229E">
          <w:rPr>
            <w:noProof/>
            <w:webHidden/>
          </w:rPr>
          <w:fldChar w:fldCharType="separate"/>
        </w:r>
        <w:r w:rsidR="002B229E">
          <w:rPr>
            <w:noProof/>
            <w:webHidden/>
          </w:rPr>
          <w:t>6</w:t>
        </w:r>
        <w:r w:rsidR="002B229E">
          <w:rPr>
            <w:noProof/>
            <w:webHidden/>
          </w:rPr>
          <w:fldChar w:fldCharType="end"/>
        </w:r>
      </w:hyperlink>
    </w:p>
    <w:p w14:paraId="7AA4645E" w14:textId="77777777" w:rsidR="002B229E" w:rsidRDefault="0025184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2677875" w:history="1">
        <w:r w:rsidR="002B229E" w:rsidRPr="00AD241A">
          <w:rPr>
            <w:rStyle w:val="Hyperlink"/>
            <w:noProof/>
          </w:rPr>
          <w:t>8</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Risk Assessment</w:t>
        </w:r>
        <w:r w:rsidR="002B229E">
          <w:rPr>
            <w:noProof/>
            <w:webHidden/>
          </w:rPr>
          <w:tab/>
        </w:r>
        <w:r w:rsidR="002B229E">
          <w:rPr>
            <w:noProof/>
            <w:webHidden/>
          </w:rPr>
          <w:fldChar w:fldCharType="begin"/>
        </w:r>
        <w:r w:rsidR="002B229E">
          <w:rPr>
            <w:noProof/>
            <w:webHidden/>
          </w:rPr>
          <w:instrText xml:space="preserve"> PAGEREF _Toc62677875 \h </w:instrText>
        </w:r>
        <w:r w:rsidR="002B229E">
          <w:rPr>
            <w:noProof/>
            <w:webHidden/>
          </w:rPr>
        </w:r>
        <w:r w:rsidR="002B229E">
          <w:rPr>
            <w:noProof/>
            <w:webHidden/>
          </w:rPr>
          <w:fldChar w:fldCharType="separate"/>
        </w:r>
        <w:r w:rsidR="002B229E">
          <w:rPr>
            <w:noProof/>
            <w:webHidden/>
          </w:rPr>
          <w:t>6</w:t>
        </w:r>
        <w:r w:rsidR="002B229E">
          <w:rPr>
            <w:noProof/>
            <w:webHidden/>
          </w:rPr>
          <w:fldChar w:fldCharType="end"/>
        </w:r>
      </w:hyperlink>
    </w:p>
    <w:p w14:paraId="0FAB73F2" w14:textId="77777777" w:rsidR="002B229E" w:rsidRDefault="0025184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2677876" w:history="1">
        <w:r w:rsidR="002B229E" w:rsidRPr="00AD241A">
          <w:rPr>
            <w:rStyle w:val="Hyperlink"/>
            <w:noProof/>
          </w:rPr>
          <w:t>9</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Calibration</w:t>
        </w:r>
        <w:r w:rsidR="002B229E">
          <w:rPr>
            <w:noProof/>
            <w:webHidden/>
          </w:rPr>
          <w:tab/>
        </w:r>
        <w:r w:rsidR="002B229E">
          <w:rPr>
            <w:noProof/>
            <w:webHidden/>
          </w:rPr>
          <w:fldChar w:fldCharType="begin"/>
        </w:r>
        <w:r w:rsidR="002B229E">
          <w:rPr>
            <w:noProof/>
            <w:webHidden/>
          </w:rPr>
          <w:instrText xml:space="preserve"> PAGEREF _Toc62677876 \h </w:instrText>
        </w:r>
        <w:r w:rsidR="002B229E">
          <w:rPr>
            <w:noProof/>
            <w:webHidden/>
          </w:rPr>
        </w:r>
        <w:r w:rsidR="002B229E">
          <w:rPr>
            <w:noProof/>
            <w:webHidden/>
          </w:rPr>
          <w:fldChar w:fldCharType="separate"/>
        </w:r>
        <w:r w:rsidR="002B229E">
          <w:rPr>
            <w:noProof/>
            <w:webHidden/>
          </w:rPr>
          <w:t>6</w:t>
        </w:r>
        <w:r w:rsidR="002B229E">
          <w:rPr>
            <w:noProof/>
            <w:webHidden/>
          </w:rPr>
          <w:fldChar w:fldCharType="end"/>
        </w:r>
      </w:hyperlink>
    </w:p>
    <w:p w14:paraId="3F8BBFE4" w14:textId="77777777" w:rsidR="002B229E" w:rsidRDefault="00251847">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62677877" w:history="1">
        <w:r w:rsidR="002B229E" w:rsidRPr="00AD241A">
          <w:rPr>
            <w:rStyle w:val="Hyperlink"/>
            <w:noProof/>
          </w:rPr>
          <w:t>10</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Quality Control</w:t>
        </w:r>
        <w:r w:rsidR="002B229E">
          <w:rPr>
            <w:noProof/>
            <w:webHidden/>
          </w:rPr>
          <w:tab/>
        </w:r>
        <w:r w:rsidR="002B229E">
          <w:rPr>
            <w:noProof/>
            <w:webHidden/>
          </w:rPr>
          <w:fldChar w:fldCharType="begin"/>
        </w:r>
        <w:r w:rsidR="002B229E">
          <w:rPr>
            <w:noProof/>
            <w:webHidden/>
          </w:rPr>
          <w:instrText xml:space="preserve"> PAGEREF _Toc62677877 \h </w:instrText>
        </w:r>
        <w:r w:rsidR="002B229E">
          <w:rPr>
            <w:noProof/>
            <w:webHidden/>
          </w:rPr>
        </w:r>
        <w:r w:rsidR="002B229E">
          <w:rPr>
            <w:noProof/>
            <w:webHidden/>
          </w:rPr>
          <w:fldChar w:fldCharType="separate"/>
        </w:r>
        <w:r w:rsidR="002B229E">
          <w:rPr>
            <w:noProof/>
            <w:webHidden/>
          </w:rPr>
          <w:t>7</w:t>
        </w:r>
        <w:r w:rsidR="002B229E">
          <w:rPr>
            <w:noProof/>
            <w:webHidden/>
          </w:rPr>
          <w:fldChar w:fldCharType="end"/>
        </w:r>
      </w:hyperlink>
    </w:p>
    <w:p w14:paraId="6F4D5169" w14:textId="77777777" w:rsidR="002B229E" w:rsidRDefault="00251847">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62677878" w:history="1">
        <w:r w:rsidR="002B229E" w:rsidRPr="00AD241A">
          <w:rPr>
            <w:rStyle w:val="Hyperlink"/>
            <w:noProof/>
          </w:rPr>
          <w:t>11</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Method</w:t>
        </w:r>
        <w:r w:rsidR="002B229E">
          <w:rPr>
            <w:noProof/>
            <w:webHidden/>
          </w:rPr>
          <w:tab/>
        </w:r>
        <w:r w:rsidR="002B229E">
          <w:rPr>
            <w:noProof/>
            <w:webHidden/>
          </w:rPr>
          <w:fldChar w:fldCharType="begin"/>
        </w:r>
        <w:r w:rsidR="002B229E">
          <w:rPr>
            <w:noProof/>
            <w:webHidden/>
          </w:rPr>
          <w:instrText xml:space="preserve"> PAGEREF _Toc62677878 \h </w:instrText>
        </w:r>
        <w:r w:rsidR="002B229E">
          <w:rPr>
            <w:noProof/>
            <w:webHidden/>
          </w:rPr>
        </w:r>
        <w:r w:rsidR="002B229E">
          <w:rPr>
            <w:noProof/>
            <w:webHidden/>
          </w:rPr>
          <w:fldChar w:fldCharType="separate"/>
        </w:r>
        <w:r w:rsidR="002B229E">
          <w:rPr>
            <w:noProof/>
            <w:webHidden/>
          </w:rPr>
          <w:t>7</w:t>
        </w:r>
        <w:r w:rsidR="002B229E">
          <w:rPr>
            <w:noProof/>
            <w:webHidden/>
          </w:rPr>
          <w:fldChar w:fldCharType="end"/>
        </w:r>
      </w:hyperlink>
    </w:p>
    <w:p w14:paraId="04392335" w14:textId="77777777" w:rsidR="002B229E" w:rsidRDefault="00251847">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62677879" w:history="1">
        <w:r w:rsidR="002B229E" w:rsidRPr="00AD241A">
          <w:rPr>
            <w:rStyle w:val="Hyperlink"/>
            <w:noProof/>
          </w:rPr>
          <w:t>12</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Reporting of Results</w:t>
        </w:r>
        <w:r w:rsidR="002B229E">
          <w:rPr>
            <w:noProof/>
            <w:webHidden/>
          </w:rPr>
          <w:tab/>
        </w:r>
        <w:r w:rsidR="002B229E">
          <w:rPr>
            <w:noProof/>
            <w:webHidden/>
          </w:rPr>
          <w:fldChar w:fldCharType="begin"/>
        </w:r>
        <w:r w:rsidR="002B229E">
          <w:rPr>
            <w:noProof/>
            <w:webHidden/>
          </w:rPr>
          <w:instrText xml:space="preserve"> PAGEREF _Toc62677879 \h </w:instrText>
        </w:r>
        <w:r w:rsidR="002B229E">
          <w:rPr>
            <w:noProof/>
            <w:webHidden/>
          </w:rPr>
        </w:r>
        <w:r w:rsidR="002B229E">
          <w:rPr>
            <w:noProof/>
            <w:webHidden/>
          </w:rPr>
          <w:fldChar w:fldCharType="separate"/>
        </w:r>
        <w:r w:rsidR="002B229E">
          <w:rPr>
            <w:noProof/>
            <w:webHidden/>
          </w:rPr>
          <w:t>7</w:t>
        </w:r>
        <w:r w:rsidR="002B229E">
          <w:rPr>
            <w:noProof/>
            <w:webHidden/>
          </w:rPr>
          <w:fldChar w:fldCharType="end"/>
        </w:r>
      </w:hyperlink>
    </w:p>
    <w:p w14:paraId="1F0857B0" w14:textId="77777777" w:rsidR="002B229E" w:rsidRDefault="00251847">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62677880" w:history="1">
        <w:r w:rsidR="002B229E" w:rsidRPr="00AD241A">
          <w:rPr>
            <w:rStyle w:val="Hyperlink"/>
            <w:noProof/>
          </w:rPr>
          <w:t>13</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Reference Ranges</w:t>
        </w:r>
        <w:r w:rsidR="002B229E">
          <w:rPr>
            <w:noProof/>
            <w:webHidden/>
          </w:rPr>
          <w:tab/>
        </w:r>
        <w:r w:rsidR="002B229E">
          <w:rPr>
            <w:noProof/>
            <w:webHidden/>
          </w:rPr>
          <w:fldChar w:fldCharType="begin"/>
        </w:r>
        <w:r w:rsidR="002B229E">
          <w:rPr>
            <w:noProof/>
            <w:webHidden/>
          </w:rPr>
          <w:instrText xml:space="preserve"> PAGEREF _Toc62677880 \h </w:instrText>
        </w:r>
        <w:r w:rsidR="002B229E">
          <w:rPr>
            <w:noProof/>
            <w:webHidden/>
          </w:rPr>
        </w:r>
        <w:r w:rsidR="002B229E">
          <w:rPr>
            <w:noProof/>
            <w:webHidden/>
          </w:rPr>
          <w:fldChar w:fldCharType="separate"/>
        </w:r>
        <w:r w:rsidR="002B229E">
          <w:rPr>
            <w:noProof/>
            <w:webHidden/>
          </w:rPr>
          <w:t>8</w:t>
        </w:r>
        <w:r w:rsidR="002B229E">
          <w:rPr>
            <w:noProof/>
            <w:webHidden/>
          </w:rPr>
          <w:fldChar w:fldCharType="end"/>
        </w:r>
      </w:hyperlink>
    </w:p>
    <w:p w14:paraId="1E18AD97" w14:textId="77777777" w:rsidR="002B229E" w:rsidRDefault="00251847">
      <w:pPr>
        <w:pStyle w:val="TOC1"/>
        <w:tabs>
          <w:tab w:val="left" w:pos="660"/>
          <w:tab w:val="right" w:leader="dot" w:pos="9628"/>
        </w:tabs>
        <w:rPr>
          <w:rStyle w:val="Hyperlink"/>
          <w:noProof/>
        </w:rPr>
      </w:pPr>
      <w:hyperlink w:anchor="_Toc62677881" w:history="1">
        <w:r w:rsidR="002B229E" w:rsidRPr="00AD241A">
          <w:rPr>
            <w:rStyle w:val="Hyperlink"/>
            <w:noProof/>
          </w:rPr>
          <w:t>14</w:t>
        </w:r>
        <w:r w:rsidR="002B229E">
          <w:rPr>
            <w:rFonts w:asciiTheme="minorHAnsi" w:eastAsiaTheme="minorEastAsia" w:hAnsiTheme="minorHAnsi" w:cstheme="minorBidi"/>
            <w:b w:val="0"/>
            <w:bCs w:val="0"/>
            <w:noProof/>
            <w:szCs w:val="22"/>
            <w:lang w:eastAsia="en-GB"/>
          </w:rPr>
          <w:tab/>
        </w:r>
        <w:r w:rsidR="002B229E" w:rsidRPr="00AD241A">
          <w:rPr>
            <w:rStyle w:val="Hyperlink"/>
            <w:noProof/>
          </w:rPr>
          <w:t>Assay Performance &amp; Known Limitations</w:t>
        </w:r>
        <w:r w:rsidR="002B229E">
          <w:rPr>
            <w:noProof/>
            <w:webHidden/>
          </w:rPr>
          <w:tab/>
        </w:r>
        <w:r w:rsidR="002B229E">
          <w:rPr>
            <w:noProof/>
            <w:webHidden/>
          </w:rPr>
          <w:fldChar w:fldCharType="begin"/>
        </w:r>
        <w:r w:rsidR="002B229E">
          <w:rPr>
            <w:noProof/>
            <w:webHidden/>
          </w:rPr>
          <w:instrText xml:space="preserve"> PAGEREF _Toc62677881 \h </w:instrText>
        </w:r>
        <w:r w:rsidR="002B229E">
          <w:rPr>
            <w:noProof/>
            <w:webHidden/>
          </w:rPr>
        </w:r>
        <w:r w:rsidR="002B229E">
          <w:rPr>
            <w:noProof/>
            <w:webHidden/>
          </w:rPr>
          <w:fldChar w:fldCharType="separate"/>
        </w:r>
        <w:r w:rsidR="002B229E">
          <w:rPr>
            <w:noProof/>
            <w:webHidden/>
          </w:rPr>
          <w:t>8</w:t>
        </w:r>
        <w:r w:rsidR="002B229E">
          <w:rPr>
            <w:noProof/>
            <w:webHidden/>
          </w:rPr>
          <w:fldChar w:fldCharType="end"/>
        </w:r>
      </w:hyperlink>
    </w:p>
    <w:p w14:paraId="33C84B9A" w14:textId="77777777" w:rsidR="002B229E" w:rsidRDefault="002B229E" w:rsidP="002B229E">
      <w:pPr>
        <w:rPr>
          <w:rFonts w:eastAsiaTheme="minorEastAsia"/>
        </w:rPr>
      </w:pPr>
    </w:p>
    <w:p w14:paraId="2609334E" w14:textId="77777777" w:rsidR="002B229E" w:rsidRPr="002B229E" w:rsidRDefault="002B229E" w:rsidP="002B229E">
      <w:pPr>
        <w:rPr>
          <w:rFonts w:eastAsiaTheme="minorEastAsia"/>
        </w:rPr>
      </w:pPr>
    </w:p>
    <w:p w14:paraId="4A020171" w14:textId="77777777" w:rsidR="00F10D2E" w:rsidRPr="006C531D" w:rsidRDefault="00B550D2" w:rsidP="00F9747B">
      <w:pPr>
        <w:spacing w:before="120"/>
        <w:rPr>
          <w:rFonts w:cs="Arial"/>
        </w:rPr>
        <w:sectPr w:rsidR="00F10D2E" w:rsidRPr="006C531D" w:rsidSect="002E17FD">
          <w:headerReference w:type="default" r:id="rId8"/>
          <w:pgSz w:w="11906" w:h="16838" w:code="9"/>
          <w:pgMar w:top="1191" w:right="1134" w:bottom="1191" w:left="1134" w:header="397" w:footer="720" w:gutter="0"/>
          <w:paperSrc w:first="15" w:other="15"/>
          <w:cols w:space="720"/>
          <w:docGrid w:linePitch="299"/>
        </w:sectPr>
      </w:pPr>
      <w:r>
        <w:fldChar w:fldCharType="end"/>
      </w:r>
    </w:p>
    <w:p w14:paraId="49FE182D" w14:textId="448582C3" w:rsidR="006C531D" w:rsidRDefault="006C531D" w:rsidP="009A3A58">
      <w:bookmarkStart w:id="0" w:name="_Toc213598297"/>
      <w:bookmarkStart w:id="1" w:name="_Toc213598523"/>
    </w:p>
    <w:p w14:paraId="33F2652B" w14:textId="77777777" w:rsidR="009A3A58" w:rsidRPr="009A3A58" w:rsidRDefault="009A3A58" w:rsidP="009A3A58"/>
    <w:p w14:paraId="751FEEE5" w14:textId="77777777" w:rsidR="009A3A58" w:rsidRPr="009A3A58" w:rsidRDefault="009A3A58" w:rsidP="009A3A58"/>
    <w:p w14:paraId="651CC3F2" w14:textId="77777777" w:rsidR="009A3A58" w:rsidRPr="009A3A58" w:rsidRDefault="009A3A58" w:rsidP="009A3A58"/>
    <w:p w14:paraId="1B960564" w14:textId="77777777" w:rsidR="009A3A58" w:rsidRPr="009A3A58" w:rsidRDefault="009A3A58" w:rsidP="009A3A58"/>
    <w:p w14:paraId="65598513" w14:textId="77777777" w:rsidR="000D24AC" w:rsidRDefault="006E1387" w:rsidP="000012D7">
      <w:pPr>
        <w:pStyle w:val="Heading1"/>
      </w:pPr>
      <w:bookmarkStart w:id="2" w:name="_Toc62677868"/>
      <w:r>
        <w:lastRenderedPageBreak/>
        <w:t xml:space="preserve">Purpose and </w:t>
      </w:r>
      <w:r w:rsidR="000D24AC" w:rsidRPr="00F65DE6">
        <w:t>Principle</w:t>
      </w:r>
      <w:bookmarkEnd w:id="0"/>
      <w:bookmarkEnd w:id="1"/>
      <w:bookmarkEnd w:id="2"/>
    </w:p>
    <w:p w14:paraId="36530923" w14:textId="77777777" w:rsidR="00190ABC" w:rsidRPr="001A4262" w:rsidRDefault="00190ABC" w:rsidP="00190ABC">
      <w:pPr>
        <w:pStyle w:val="Heading1"/>
        <w:numPr>
          <w:ilvl w:val="0"/>
          <w:numId w:val="0"/>
        </w:numPr>
        <w:ind w:left="432"/>
        <w:rPr>
          <w:b w:val="0"/>
        </w:rPr>
      </w:pPr>
      <w:r w:rsidRPr="001A4262">
        <w:rPr>
          <w:b w:val="0"/>
        </w:rPr>
        <w:t xml:space="preserve">The </w:t>
      </w:r>
      <w:proofErr w:type="spellStart"/>
      <w:r w:rsidRPr="001A4262">
        <w:rPr>
          <w:b w:val="0"/>
        </w:rPr>
        <w:t>Hemochron</w:t>
      </w:r>
      <w:proofErr w:type="spellEnd"/>
      <w:r w:rsidRPr="001A4262">
        <w:rPr>
          <w:b w:val="0"/>
        </w:rPr>
        <w:t xml:space="preserve"> Signature Elite Point of Care Testing (POCT) instrument has been approved for use within the Vascular Imaging Unit (VIU) and Coronary Care Unit (CCU) at York Teaching Hospitals NHS Foundation Trust to monitor heparin therapy associated with Percutaneous Vascular Intervention (PCI). The instrument utilizes a mechanical endpoint detection mechanism to detect clot formation occurring within a disposable single-use cuvette to measure the activated clotting time at the low range (ACT-LR).</w:t>
      </w:r>
    </w:p>
    <w:p w14:paraId="2A925863" w14:textId="77777777" w:rsidR="00190ABC" w:rsidRPr="001A4262" w:rsidRDefault="00190ABC" w:rsidP="00190ABC">
      <w:pPr>
        <w:pStyle w:val="Heading1"/>
        <w:numPr>
          <w:ilvl w:val="0"/>
          <w:numId w:val="0"/>
        </w:numPr>
        <w:ind w:left="432"/>
        <w:rPr>
          <w:b w:val="0"/>
        </w:rPr>
      </w:pPr>
      <w:r w:rsidRPr="001A4262">
        <w:rPr>
          <w:b w:val="0"/>
        </w:rPr>
        <w:t>The operator inserts a cuvette for the test into the instrument; the cuvette warms to 37°C ± 1.0°C. Following whole blood sample introduction to the cuvette, the instrument precisely measures and transfers 15µL of blood into the cuvette test channel (the remainder of the blood sample is automatically drawn into the waste channel of the cuvette).  Sample / reagent mixing and test initiation are performed automatically and the test sample is moved back and forth at a predetermined rate within the test channel and monitored for clot formation.</w:t>
      </w:r>
    </w:p>
    <w:p w14:paraId="4B558B2E" w14:textId="77777777" w:rsidR="00190ABC" w:rsidRDefault="00190ABC" w:rsidP="00190ABC">
      <w:pPr>
        <w:pStyle w:val="Heading1"/>
        <w:numPr>
          <w:ilvl w:val="0"/>
          <w:numId w:val="0"/>
        </w:numPr>
        <w:ind w:left="432"/>
      </w:pPr>
      <w:r w:rsidRPr="001A4262">
        <w:rPr>
          <w:b w:val="0"/>
        </w:rPr>
        <w:t xml:space="preserve">The clot detection mechanism </w:t>
      </w:r>
      <w:proofErr w:type="spellStart"/>
      <w:r w:rsidRPr="001A4262">
        <w:rPr>
          <w:b w:val="0"/>
        </w:rPr>
        <w:t>utilises</w:t>
      </w:r>
      <w:proofErr w:type="spellEnd"/>
      <w:r w:rsidRPr="001A4262">
        <w:rPr>
          <w:b w:val="0"/>
        </w:rPr>
        <w:t xml:space="preserve"> LED optical detectors that are aligned with the test channel of the cuvette.  The speed at which the blood sample moves between the detectors is measured and as clot formation begins, blood flow is impeded and the movement slows.  The instrument recognizes that the clot endpoint has been achieved when the movement decreases below a threshold rate.  Electronic optical detection of a fibrin clot in the blood sample automatically terminates the test.  The instrument’s digital timer measures the elapsed time between the start of the test and the clot formation.  At the end of the test, the instrument displays the ACT-LR time in seconds.</w:t>
      </w:r>
    </w:p>
    <w:p w14:paraId="2BC94CE9" w14:textId="77777777" w:rsidR="00190ABC" w:rsidRPr="00190ABC" w:rsidRDefault="00190ABC" w:rsidP="00190ABC">
      <w:pPr>
        <w:rPr>
          <w:lang w:val="en-US"/>
        </w:rPr>
      </w:pPr>
    </w:p>
    <w:p w14:paraId="64986161" w14:textId="77777777" w:rsidR="005D5C15" w:rsidRDefault="005D5C15" w:rsidP="000012D7">
      <w:pPr>
        <w:pStyle w:val="Heading1"/>
      </w:pPr>
      <w:bookmarkStart w:id="3" w:name="_Toc62677869"/>
      <w:bookmarkStart w:id="4" w:name="_Toc213598298"/>
      <w:bookmarkStart w:id="5" w:name="_Toc213598524"/>
      <w:r w:rsidRPr="00F65DE6">
        <w:t>References</w:t>
      </w:r>
      <w:bookmarkEnd w:id="3"/>
    </w:p>
    <w:p w14:paraId="44DCC52B" w14:textId="77777777" w:rsidR="00190ABC" w:rsidRPr="001A4262" w:rsidRDefault="00190ABC" w:rsidP="00190ABC">
      <w:pPr>
        <w:pStyle w:val="Heading1"/>
        <w:numPr>
          <w:ilvl w:val="0"/>
          <w:numId w:val="0"/>
        </w:numPr>
        <w:ind w:left="432"/>
        <w:rPr>
          <w:b w:val="0"/>
        </w:rPr>
      </w:pPr>
      <w:proofErr w:type="spellStart"/>
      <w:r w:rsidRPr="001A4262">
        <w:rPr>
          <w:b w:val="0"/>
        </w:rPr>
        <w:t>Hemochron</w:t>
      </w:r>
      <w:proofErr w:type="spellEnd"/>
      <w:r w:rsidRPr="001A4262">
        <w:rPr>
          <w:b w:val="0"/>
        </w:rPr>
        <w:t xml:space="preserve"> Signature Elite</w:t>
      </w:r>
      <w:r w:rsidRPr="001A4262">
        <w:rPr>
          <w:b w:val="0"/>
          <w:vertAlign w:val="superscript"/>
        </w:rPr>
        <w:t>®</w:t>
      </w:r>
      <w:r w:rsidRPr="001A4262">
        <w:rPr>
          <w:b w:val="0"/>
        </w:rPr>
        <w:t xml:space="preserve"> Operator’s Manual, International </w:t>
      </w:r>
      <w:proofErr w:type="spellStart"/>
      <w:r w:rsidRPr="001A4262">
        <w:rPr>
          <w:b w:val="0"/>
        </w:rPr>
        <w:t>Technidyne</w:t>
      </w:r>
      <w:proofErr w:type="spellEnd"/>
      <w:r w:rsidRPr="001A4262">
        <w:rPr>
          <w:b w:val="0"/>
        </w:rPr>
        <w:t xml:space="preserve"> Corporation, NJ, HX1101 09/06. </w:t>
      </w:r>
    </w:p>
    <w:p w14:paraId="6484D0EB" w14:textId="77777777" w:rsidR="00190ABC" w:rsidRPr="001A4262" w:rsidRDefault="00190ABC" w:rsidP="00190ABC">
      <w:pPr>
        <w:pStyle w:val="Heading1"/>
        <w:numPr>
          <w:ilvl w:val="0"/>
          <w:numId w:val="0"/>
        </w:numPr>
        <w:ind w:left="432"/>
        <w:rPr>
          <w:b w:val="0"/>
        </w:rPr>
      </w:pPr>
      <w:proofErr w:type="spellStart"/>
      <w:r w:rsidRPr="001A4262">
        <w:rPr>
          <w:b w:val="0"/>
        </w:rPr>
        <w:t>Hemochron</w:t>
      </w:r>
      <w:proofErr w:type="spellEnd"/>
      <w:r w:rsidRPr="001A4262">
        <w:rPr>
          <w:b w:val="0"/>
        </w:rPr>
        <w:t xml:space="preserve"> Whole Blood </w:t>
      </w:r>
      <w:proofErr w:type="spellStart"/>
      <w:r w:rsidRPr="001A4262">
        <w:rPr>
          <w:b w:val="0"/>
        </w:rPr>
        <w:t>Microcoagulation</w:t>
      </w:r>
      <w:proofErr w:type="spellEnd"/>
      <w:r w:rsidRPr="001A4262">
        <w:rPr>
          <w:b w:val="0"/>
        </w:rPr>
        <w:t xml:space="preserve"> Systems Low Range Activated Clotting Time (ACT-LR) Package Insert, International </w:t>
      </w:r>
      <w:proofErr w:type="spellStart"/>
      <w:r w:rsidRPr="001A4262">
        <w:rPr>
          <w:b w:val="0"/>
        </w:rPr>
        <w:t>Technidyne</w:t>
      </w:r>
      <w:proofErr w:type="spellEnd"/>
      <w:r w:rsidRPr="001A4262">
        <w:rPr>
          <w:b w:val="0"/>
        </w:rPr>
        <w:t xml:space="preserve"> </w:t>
      </w:r>
      <w:proofErr w:type="gramStart"/>
      <w:r w:rsidRPr="001A4262">
        <w:rPr>
          <w:b w:val="0"/>
        </w:rPr>
        <w:t>Corporation ,</w:t>
      </w:r>
      <w:proofErr w:type="gramEnd"/>
      <w:r w:rsidRPr="001A4262">
        <w:rPr>
          <w:b w:val="0"/>
        </w:rPr>
        <w:t xml:space="preserve"> NJ, Current Version. </w:t>
      </w:r>
    </w:p>
    <w:p w14:paraId="564FC074" w14:textId="77777777" w:rsidR="00190ABC" w:rsidRPr="001A4262" w:rsidRDefault="00190ABC" w:rsidP="00190ABC">
      <w:pPr>
        <w:pStyle w:val="Heading1"/>
        <w:numPr>
          <w:ilvl w:val="0"/>
          <w:numId w:val="0"/>
        </w:numPr>
        <w:ind w:left="432"/>
        <w:rPr>
          <w:b w:val="0"/>
        </w:rPr>
      </w:pPr>
      <w:r w:rsidRPr="001A4262">
        <w:rPr>
          <w:b w:val="0"/>
        </w:rPr>
        <w:t xml:space="preserve">Direct Check Whole Blood Control for </w:t>
      </w:r>
      <w:proofErr w:type="spellStart"/>
      <w:r w:rsidRPr="001A4262">
        <w:rPr>
          <w:b w:val="0"/>
        </w:rPr>
        <w:t>Hemochron</w:t>
      </w:r>
      <w:proofErr w:type="spellEnd"/>
      <w:r w:rsidRPr="001A4262">
        <w:rPr>
          <w:b w:val="0"/>
        </w:rPr>
        <w:t xml:space="preserve"> </w:t>
      </w:r>
      <w:proofErr w:type="spellStart"/>
      <w:r w:rsidRPr="001A4262">
        <w:rPr>
          <w:b w:val="0"/>
        </w:rPr>
        <w:t>Microcoagulation</w:t>
      </w:r>
      <w:proofErr w:type="spellEnd"/>
      <w:r w:rsidRPr="001A4262">
        <w:rPr>
          <w:b w:val="0"/>
        </w:rPr>
        <w:t xml:space="preserve"> Systems Package Insert, International </w:t>
      </w:r>
      <w:proofErr w:type="spellStart"/>
      <w:r w:rsidRPr="001A4262">
        <w:rPr>
          <w:b w:val="0"/>
        </w:rPr>
        <w:t>Technidyne</w:t>
      </w:r>
      <w:proofErr w:type="spellEnd"/>
      <w:r w:rsidRPr="001A4262">
        <w:rPr>
          <w:b w:val="0"/>
        </w:rPr>
        <w:t xml:space="preserve"> </w:t>
      </w:r>
      <w:proofErr w:type="gramStart"/>
      <w:r w:rsidRPr="001A4262">
        <w:rPr>
          <w:b w:val="0"/>
        </w:rPr>
        <w:t>Corporation ,</w:t>
      </w:r>
      <w:proofErr w:type="gramEnd"/>
      <w:r w:rsidRPr="001A4262">
        <w:rPr>
          <w:b w:val="0"/>
        </w:rPr>
        <w:t xml:space="preserve"> NJ, Current Version. </w:t>
      </w:r>
    </w:p>
    <w:p w14:paraId="4C97105C" w14:textId="77777777" w:rsidR="00190ABC" w:rsidRPr="001A4262" w:rsidRDefault="00190ABC" w:rsidP="00190ABC">
      <w:pPr>
        <w:pStyle w:val="Heading1"/>
        <w:numPr>
          <w:ilvl w:val="0"/>
          <w:numId w:val="0"/>
        </w:numPr>
        <w:ind w:left="432"/>
        <w:rPr>
          <w:b w:val="0"/>
        </w:rPr>
      </w:pPr>
      <w:proofErr w:type="spellStart"/>
      <w:r w:rsidRPr="001A4262">
        <w:rPr>
          <w:b w:val="0"/>
        </w:rPr>
        <w:t>Hemochron</w:t>
      </w:r>
      <w:proofErr w:type="spellEnd"/>
      <w:r w:rsidRPr="001A4262">
        <w:rPr>
          <w:b w:val="0"/>
        </w:rPr>
        <w:t xml:space="preserve"> Low Range Activated Clotting Time (ACT-LR) Document WI.POC.003, ANMED Health Laboratory Services, Anderson, SC, 05/06.</w:t>
      </w:r>
    </w:p>
    <w:p w14:paraId="5A5B7AAD" w14:textId="77777777" w:rsidR="00190ABC" w:rsidRPr="001A4262" w:rsidRDefault="00190ABC" w:rsidP="00190ABC">
      <w:pPr>
        <w:pStyle w:val="Heading1"/>
        <w:numPr>
          <w:ilvl w:val="0"/>
          <w:numId w:val="0"/>
        </w:numPr>
        <w:ind w:left="432"/>
        <w:rPr>
          <w:b w:val="0"/>
        </w:rPr>
      </w:pPr>
      <w:proofErr w:type="spellStart"/>
      <w:r>
        <w:rPr>
          <w:b w:val="0"/>
        </w:rPr>
        <w:t>Werfen</w:t>
      </w:r>
      <w:proofErr w:type="spellEnd"/>
      <w:r>
        <w:rPr>
          <w:b w:val="0"/>
        </w:rPr>
        <w:t xml:space="preserve"> Website www.</w:t>
      </w:r>
      <w:r w:rsidRPr="00190ABC">
        <w:rPr>
          <w:b w:val="0"/>
        </w:rPr>
        <w:t>werfen.com</w:t>
      </w:r>
    </w:p>
    <w:p w14:paraId="027E3636" w14:textId="77777777" w:rsidR="00190ABC" w:rsidRPr="001A4262" w:rsidRDefault="00190ABC" w:rsidP="00190ABC">
      <w:pPr>
        <w:pStyle w:val="Heading1"/>
        <w:numPr>
          <w:ilvl w:val="0"/>
          <w:numId w:val="0"/>
        </w:numPr>
        <w:ind w:left="432"/>
        <w:rPr>
          <w:b w:val="0"/>
        </w:rPr>
      </w:pPr>
      <w:r w:rsidRPr="001A4262">
        <w:rPr>
          <w:b w:val="0"/>
        </w:rPr>
        <w:t>Evaluation Document located in Q-Pulse PC-EVA-HEMOCHRON</w:t>
      </w:r>
    </w:p>
    <w:p w14:paraId="3EF276A8" w14:textId="77777777" w:rsidR="00190ABC" w:rsidRPr="00190ABC" w:rsidRDefault="00190ABC" w:rsidP="00190ABC">
      <w:pPr>
        <w:ind w:left="432"/>
        <w:rPr>
          <w:lang w:val="en-US"/>
        </w:rPr>
      </w:pPr>
    </w:p>
    <w:p w14:paraId="76BED7FB" w14:textId="77777777" w:rsidR="00553F98" w:rsidRDefault="00553F98" w:rsidP="000012D7">
      <w:pPr>
        <w:pStyle w:val="Heading1"/>
      </w:pPr>
      <w:bookmarkStart w:id="6" w:name="_Toc62677870"/>
      <w:r w:rsidRPr="00F65DE6">
        <w:t>Equipment</w:t>
      </w:r>
      <w:bookmarkEnd w:id="6"/>
    </w:p>
    <w:p w14:paraId="1270BDEF" w14:textId="77777777" w:rsidR="00AC6DA2" w:rsidRPr="001A4262" w:rsidRDefault="00AC6DA2" w:rsidP="00AC6DA2">
      <w:pPr>
        <w:rPr>
          <w:lang w:val="en-US"/>
        </w:rPr>
      </w:pPr>
      <w:r>
        <w:rPr>
          <w:lang w:val="en-US"/>
        </w:rPr>
        <w:t>All test cuvettes and quality controls are ordered by Vascular Imaging Unit Ext 6165</w:t>
      </w:r>
    </w:p>
    <w:p w14:paraId="0A333625" w14:textId="77777777" w:rsidR="00AC6DA2" w:rsidRDefault="00AC6DA2" w:rsidP="00AC6DA2">
      <w:pPr>
        <w:rPr>
          <w:lang w:val="en-US"/>
        </w:rPr>
      </w:pPr>
      <w:proofErr w:type="spellStart"/>
      <w:r>
        <w:rPr>
          <w:lang w:val="en-US"/>
        </w:rPr>
        <w:t>Werfen</w:t>
      </w:r>
      <w:proofErr w:type="spellEnd"/>
      <w:r>
        <w:rPr>
          <w:lang w:val="en-US"/>
        </w:rPr>
        <w:t xml:space="preserve"> </w:t>
      </w:r>
      <w:proofErr w:type="spellStart"/>
      <w:r>
        <w:rPr>
          <w:lang w:val="en-US"/>
        </w:rPr>
        <w:t>Hemochron</w:t>
      </w:r>
      <w:proofErr w:type="spellEnd"/>
      <w:r>
        <w:rPr>
          <w:lang w:val="en-US"/>
        </w:rPr>
        <w:t xml:space="preserve">- </w:t>
      </w:r>
      <w:proofErr w:type="spellStart"/>
      <w:r>
        <w:rPr>
          <w:lang w:val="en-US"/>
        </w:rPr>
        <w:t>Signiture</w:t>
      </w:r>
      <w:proofErr w:type="spellEnd"/>
      <w:r>
        <w:rPr>
          <w:lang w:val="en-US"/>
        </w:rPr>
        <w:t xml:space="preserve"> Elite </w:t>
      </w:r>
      <w:proofErr w:type="spellStart"/>
      <w:r>
        <w:rPr>
          <w:lang w:val="en-US"/>
        </w:rPr>
        <w:t>analyser</w:t>
      </w:r>
      <w:proofErr w:type="spellEnd"/>
    </w:p>
    <w:p w14:paraId="69B0E562" w14:textId="77777777" w:rsidR="00AC6DA2" w:rsidRDefault="00AC6DA2" w:rsidP="00AC6DA2">
      <w:pPr>
        <w:ind w:left="432"/>
      </w:pPr>
      <w:proofErr w:type="spellStart"/>
      <w:r>
        <w:lastRenderedPageBreak/>
        <w:t>Werfen</w:t>
      </w:r>
      <w:proofErr w:type="spellEnd"/>
    </w:p>
    <w:p w14:paraId="425CC66E" w14:textId="77777777" w:rsidR="00AC6DA2" w:rsidRPr="00AC6DA2" w:rsidRDefault="00AC6DA2" w:rsidP="00AC6DA2">
      <w:pPr>
        <w:ind w:left="432"/>
        <w:rPr>
          <w:lang w:val="en-US"/>
        </w:rPr>
      </w:pPr>
      <w:r w:rsidRPr="00AC6DA2">
        <w:t>712 The Quadrant, Cavendish Avenue</w:t>
      </w:r>
      <w:r w:rsidRPr="00AC6DA2">
        <w:br/>
        <w:t>Birchwood, Warrington</w:t>
      </w:r>
      <w:r w:rsidRPr="00AC6DA2">
        <w:br/>
        <w:t>Cheshire WA3 6DE</w:t>
      </w:r>
      <w:r w:rsidRPr="00AC6DA2">
        <w:br/>
        <w:t>UK</w:t>
      </w:r>
      <w:r w:rsidRPr="00AC6DA2">
        <w:br/>
        <w:t>Tel: +44 (0)1925 810 141</w:t>
      </w:r>
    </w:p>
    <w:p w14:paraId="7C353E07" w14:textId="77777777" w:rsidR="000E7FDF" w:rsidRPr="00F65DE6" w:rsidRDefault="000E7FDF" w:rsidP="000012D7">
      <w:pPr>
        <w:pStyle w:val="Heading1"/>
      </w:pPr>
      <w:bookmarkStart w:id="7" w:name="_Toc62677871"/>
      <w:bookmarkStart w:id="8" w:name="_Toc213598300"/>
      <w:bookmarkStart w:id="9" w:name="_Toc213598526"/>
      <w:bookmarkEnd w:id="4"/>
      <w:bookmarkEnd w:id="5"/>
      <w:r w:rsidRPr="00F65DE6">
        <w:t xml:space="preserve">Personnel </w:t>
      </w:r>
      <w:proofErr w:type="spellStart"/>
      <w:r w:rsidRPr="00F65DE6">
        <w:t>Authorised</w:t>
      </w:r>
      <w:proofErr w:type="spellEnd"/>
      <w:r w:rsidRPr="00F65DE6">
        <w:t xml:space="preserve"> to Perform Procedure</w:t>
      </w:r>
      <w:bookmarkEnd w:id="7"/>
    </w:p>
    <w:p w14:paraId="21998B1B" w14:textId="77777777" w:rsidR="00AC6DA2" w:rsidRDefault="00AC6DA2" w:rsidP="00AC6DA2">
      <w:pPr>
        <w:spacing w:before="120" w:after="60"/>
        <w:ind w:left="360"/>
        <w:rPr>
          <w:szCs w:val="22"/>
          <w:lang w:val="en-US"/>
        </w:rPr>
      </w:pPr>
      <w:r w:rsidRPr="004A71CC">
        <w:rPr>
          <w:szCs w:val="22"/>
          <w:lang w:val="en-US"/>
        </w:rPr>
        <w:t xml:space="preserve">The system is for use by any healthcare professional </w:t>
      </w:r>
      <w:r>
        <w:rPr>
          <w:szCs w:val="22"/>
          <w:lang w:val="en-US"/>
        </w:rPr>
        <w:t>that</w:t>
      </w:r>
      <w:r w:rsidRPr="004A71CC">
        <w:rPr>
          <w:szCs w:val="22"/>
          <w:lang w:val="en-US"/>
        </w:rPr>
        <w:t xml:space="preserve"> has had the required training</w:t>
      </w:r>
    </w:p>
    <w:p w14:paraId="1A7A4854" w14:textId="77777777" w:rsidR="00AC6DA2" w:rsidRPr="00AC6DA2" w:rsidRDefault="00AC6DA2" w:rsidP="00AC6DA2">
      <w:pPr>
        <w:spacing w:before="120" w:after="60"/>
        <w:ind w:left="360"/>
        <w:rPr>
          <w:i/>
          <w:color w:val="00B0F0"/>
        </w:rPr>
      </w:pPr>
      <w:r w:rsidRPr="00AC6DA2">
        <w:rPr>
          <w:i/>
          <w:color w:val="00B0F0"/>
          <w:szCs w:val="22"/>
          <w:lang w:val="en-US"/>
        </w:rPr>
        <w:t xml:space="preserve">Training is documented on the </w:t>
      </w:r>
      <w:proofErr w:type="spellStart"/>
      <w:r w:rsidRPr="00AC6DA2">
        <w:rPr>
          <w:i/>
          <w:color w:val="00B0F0"/>
          <w:szCs w:val="22"/>
          <w:lang w:val="en-US"/>
        </w:rPr>
        <w:t>Hemochron</w:t>
      </w:r>
      <w:proofErr w:type="spellEnd"/>
      <w:r w:rsidRPr="00AC6DA2">
        <w:rPr>
          <w:i/>
          <w:color w:val="00B0F0"/>
          <w:szCs w:val="22"/>
          <w:lang w:val="en-US"/>
        </w:rPr>
        <w:t xml:space="preserve"> Report Maker available on PC in POCT office.</w:t>
      </w:r>
    </w:p>
    <w:p w14:paraId="603576DC" w14:textId="77777777" w:rsidR="00B477CC" w:rsidRPr="004E24E8" w:rsidRDefault="00B477CC" w:rsidP="00AC6DA2">
      <w:pPr>
        <w:spacing w:before="120" w:after="60"/>
        <w:ind w:left="432"/>
      </w:pPr>
    </w:p>
    <w:p w14:paraId="7E1DC689" w14:textId="77777777" w:rsidR="00667A8E" w:rsidRPr="00F65DE6" w:rsidRDefault="00667A8E" w:rsidP="000012D7">
      <w:pPr>
        <w:pStyle w:val="Heading1"/>
      </w:pPr>
      <w:bookmarkStart w:id="10" w:name="_Toc213598299"/>
      <w:bookmarkStart w:id="11" w:name="_Toc213598525"/>
      <w:bookmarkStart w:id="12" w:name="_Toc62677872"/>
      <w:bookmarkStart w:id="13" w:name="_Toc213598302"/>
      <w:bookmarkStart w:id="14" w:name="_Toc213598528"/>
      <w:bookmarkEnd w:id="8"/>
      <w:bookmarkEnd w:id="9"/>
      <w:r w:rsidRPr="00F65DE6">
        <w:t>Sample Requirements</w:t>
      </w:r>
      <w:bookmarkEnd w:id="10"/>
      <w:bookmarkEnd w:id="11"/>
      <w:r w:rsidR="000012D7">
        <w:t xml:space="preserve"> (including </w:t>
      </w:r>
      <w:r w:rsidR="000012D7" w:rsidRPr="00F65DE6">
        <w:t>COSHH Risk Assessment</w:t>
      </w:r>
      <w:r w:rsidR="000012D7">
        <w:t xml:space="preserve"> &amp; First Aid)</w:t>
      </w:r>
      <w:bookmarkEnd w:id="12"/>
    </w:p>
    <w:p w14:paraId="57567632" w14:textId="77777777" w:rsidR="00AC6DA2" w:rsidRPr="009B20C9" w:rsidRDefault="00AC6DA2" w:rsidP="00AC6DA2">
      <w:pPr>
        <w:rPr>
          <w:lang w:val="en-US"/>
        </w:rPr>
      </w:pPr>
      <w:r>
        <w:t>.</w:t>
      </w:r>
      <w:r w:rsidRPr="009B20C9">
        <w:rPr>
          <w:lang w:val="en-US"/>
        </w:rPr>
        <w:t xml:space="preserve"> </w:t>
      </w:r>
      <w:r>
        <w:rPr>
          <w:lang w:val="en-US"/>
        </w:rPr>
        <w:t>One drop of f</w:t>
      </w:r>
      <w:r w:rsidRPr="004A71CC">
        <w:rPr>
          <w:lang w:val="en-US"/>
        </w:rPr>
        <w:t>resh whole blood or citrated whole blood can be used</w:t>
      </w:r>
      <w:r>
        <w:rPr>
          <w:lang w:val="en-US"/>
        </w:rPr>
        <w:t xml:space="preserve">. Fresh whole blood is used routinely. </w:t>
      </w:r>
      <w:r w:rsidRPr="00AC6DA2">
        <w:rPr>
          <w:b/>
          <w:lang w:val="en-US"/>
        </w:rPr>
        <w:t xml:space="preserve">Blood must not be collected from a </w:t>
      </w:r>
      <w:proofErr w:type="spellStart"/>
      <w:r w:rsidRPr="00AC6DA2">
        <w:rPr>
          <w:b/>
          <w:lang w:val="en-US"/>
        </w:rPr>
        <w:t>heparinised</w:t>
      </w:r>
      <w:proofErr w:type="spellEnd"/>
      <w:r w:rsidRPr="00AC6DA2">
        <w:rPr>
          <w:b/>
          <w:lang w:val="en-US"/>
        </w:rPr>
        <w:t xml:space="preserve"> line or indwelling heparin lock.</w:t>
      </w:r>
    </w:p>
    <w:p w14:paraId="2B0142E4" w14:textId="77777777" w:rsidR="00AC6DA2" w:rsidRPr="001118C5" w:rsidRDefault="00AC6DA2" w:rsidP="00AC6DA2">
      <w:pPr>
        <w:numPr>
          <w:ilvl w:val="0"/>
          <w:numId w:val="28"/>
        </w:numPr>
        <w:spacing w:before="120" w:after="60"/>
        <w:rPr>
          <w:rFonts w:cs="Arial"/>
          <w:szCs w:val="22"/>
        </w:rPr>
      </w:pPr>
      <w:r w:rsidRPr="001118C5">
        <w:rPr>
          <w:rFonts w:cs="Arial"/>
          <w:szCs w:val="22"/>
        </w:rPr>
        <w:t>All human blood samples must be treated as potentially BIO-HAZARDOUS.</w:t>
      </w:r>
    </w:p>
    <w:p w14:paraId="6A6FFFCA" w14:textId="77777777" w:rsidR="00AC6DA2" w:rsidRDefault="00AC6DA2" w:rsidP="00AC6DA2">
      <w:pPr>
        <w:numPr>
          <w:ilvl w:val="0"/>
          <w:numId w:val="28"/>
        </w:numPr>
        <w:spacing w:before="120" w:after="60"/>
        <w:rPr>
          <w:rFonts w:cs="Arial"/>
          <w:szCs w:val="22"/>
        </w:rPr>
      </w:pPr>
      <w:r w:rsidRPr="001118C5">
        <w:rPr>
          <w:rFonts w:cs="Arial"/>
          <w:szCs w:val="22"/>
        </w:rPr>
        <w:t>Approved Personal Protective Equipment (PPE) including lab coats, gloves and eye-protection must be worn when handling open blood samples or derivatives thereof.</w:t>
      </w:r>
    </w:p>
    <w:p w14:paraId="65B4D5DA" w14:textId="77777777" w:rsidR="00AC6DA2" w:rsidRPr="001118C5" w:rsidRDefault="00AC6DA2" w:rsidP="00AC6DA2">
      <w:pPr>
        <w:spacing w:after="0"/>
        <w:ind w:left="448"/>
        <w:rPr>
          <w:rFonts w:cs="Arial"/>
          <w:szCs w:val="22"/>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7725"/>
      </w:tblGrid>
      <w:tr w:rsidR="00AC6DA2" w:rsidRPr="001118C5" w14:paraId="58BC1943" w14:textId="77777777" w:rsidTr="005567C9">
        <w:tc>
          <w:tcPr>
            <w:tcW w:w="1308" w:type="dxa"/>
            <w:shd w:val="clear" w:color="auto" w:fill="auto"/>
          </w:tcPr>
          <w:p w14:paraId="657CF47E" w14:textId="77777777" w:rsidR="00AC6DA2" w:rsidRPr="001118C5" w:rsidRDefault="00AC6DA2" w:rsidP="005567C9">
            <w:pPr>
              <w:rPr>
                <w:rFonts w:cs="Arial"/>
                <w:szCs w:val="22"/>
              </w:rPr>
            </w:pPr>
          </w:p>
          <w:p w14:paraId="05BC7FFC" w14:textId="77777777" w:rsidR="00AC6DA2" w:rsidRPr="001118C5" w:rsidRDefault="00AC6DA2" w:rsidP="005567C9">
            <w:pPr>
              <w:rPr>
                <w:rFonts w:cs="Arial"/>
                <w:szCs w:val="22"/>
              </w:rPr>
            </w:pPr>
            <w:r>
              <w:rPr>
                <w:rFonts w:cs="Arial"/>
                <w:noProof/>
                <w:szCs w:val="22"/>
                <w:lang w:eastAsia="en-GB"/>
              </w:rPr>
              <w:drawing>
                <wp:inline distT="0" distB="0" distL="0" distR="0" wp14:anchorId="4C2DD6F7" wp14:editId="159CA264">
                  <wp:extent cx="509905" cy="490855"/>
                  <wp:effectExtent l="19050" t="19050" r="23495" b="2349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otw9_tem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905" cy="490855"/>
                          </a:xfrm>
                          <a:prstGeom prst="rect">
                            <a:avLst/>
                          </a:prstGeom>
                          <a:noFill/>
                          <a:ln w="9525" cmpd="sng">
                            <a:solidFill>
                              <a:srgbClr val="000000"/>
                            </a:solidFill>
                            <a:miter lim="800000"/>
                            <a:headEnd/>
                            <a:tailEnd/>
                          </a:ln>
                          <a:effectLst/>
                        </pic:spPr>
                      </pic:pic>
                    </a:graphicData>
                  </a:graphic>
                </wp:inline>
              </w:drawing>
            </w:r>
          </w:p>
        </w:tc>
        <w:tc>
          <w:tcPr>
            <w:tcW w:w="7875" w:type="dxa"/>
            <w:shd w:val="clear" w:color="auto" w:fill="auto"/>
          </w:tcPr>
          <w:p w14:paraId="2B86A3D7" w14:textId="77777777" w:rsidR="00AC6DA2" w:rsidRPr="001118C5" w:rsidRDefault="00AC6DA2" w:rsidP="005567C9">
            <w:pPr>
              <w:rPr>
                <w:rFonts w:cs="Arial"/>
                <w:szCs w:val="22"/>
              </w:rPr>
            </w:pPr>
          </w:p>
          <w:p w14:paraId="674838E8" w14:textId="77777777" w:rsidR="00AC6DA2" w:rsidRPr="001118C5" w:rsidRDefault="00AC6DA2" w:rsidP="005567C9">
            <w:pPr>
              <w:ind w:left="183"/>
              <w:rPr>
                <w:rFonts w:cs="Arial"/>
                <w:szCs w:val="22"/>
              </w:rPr>
            </w:pPr>
            <w:r w:rsidRPr="001118C5">
              <w:rPr>
                <w:rFonts w:cs="Arial"/>
                <w:szCs w:val="22"/>
              </w:rPr>
              <w:t>When performed according to the protocol detailed in this SOP, and in conjunction with adherence to Trust Policies and Good Laboratory Practice, the handling of patient samples represents minimal risk to staff.</w:t>
            </w:r>
          </w:p>
        </w:tc>
      </w:tr>
    </w:tbl>
    <w:p w14:paraId="4321F848" w14:textId="77777777" w:rsidR="00AC6DA2" w:rsidRPr="001118C5" w:rsidRDefault="00AC6DA2" w:rsidP="00AC6DA2">
      <w:pPr>
        <w:spacing w:after="0"/>
        <w:ind w:left="448"/>
        <w:rPr>
          <w:rFonts w:cs="Arial"/>
          <w:szCs w:val="22"/>
        </w:rPr>
      </w:pPr>
    </w:p>
    <w:p w14:paraId="093EACF0" w14:textId="77777777" w:rsidR="00AC6DA2" w:rsidRPr="001118C5" w:rsidRDefault="00AC6DA2" w:rsidP="00AC6DA2">
      <w:pPr>
        <w:spacing w:before="120"/>
        <w:ind w:left="448"/>
        <w:rPr>
          <w:rFonts w:cs="Arial"/>
          <w:szCs w:val="22"/>
          <w:u w:val="single"/>
        </w:rPr>
      </w:pPr>
      <w:r w:rsidRPr="001118C5">
        <w:rPr>
          <w:rFonts w:cs="Arial"/>
          <w:szCs w:val="22"/>
          <w:u w:val="single"/>
        </w:rPr>
        <w:t>Exposure to Bio-Hazardous Material</w:t>
      </w:r>
    </w:p>
    <w:p w14:paraId="447D314E" w14:textId="77777777" w:rsidR="00AC6DA2" w:rsidRPr="001118C5" w:rsidRDefault="00AC6DA2" w:rsidP="00AC6DA2">
      <w:pPr>
        <w:ind w:left="448"/>
        <w:rPr>
          <w:rFonts w:cs="Arial"/>
          <w:szCs w:val="22"/>
        </w:rPr>
      </w:pPr>
      <w:r w:rsidRPr="001118C5">
        <w:rPr>
          <w:rFonts w:cs="Arial"/>
          <w:szCs w:val="22"/>
        </w:rPr>
        <w:t>In the event of a needle stick injury or accidental blood splashes to eyes or mouth:</w:t>
      </w:r>
    </w:p>
    <w:p w14:paraId="11D94712" w14:textId="77777777" w:rsidR="00AC6DA2" w:rsidRPr="001118C5" w:rsidRDefault="00AC6DA2" w:rsidP="00AC6DA2">
      <w:pPr>
        <w:numPr>
          <w:ilvl w:val="0"/>
          <w:numId w:val="29"/>
        </w:numPr>
        <w:rPr>
          <w:rFonts w:cs="Arial"/>
          <w:color w:val="FF0000"/>
          <w:szCs w:val="22"/>
        </w:rPr>
      </w:pPr>
      <w:r w:rsidRPr="001118C5">
        <w:rPr>
          <w:rFonts w:cs="Arial"/>
          <w:color w:val="FF0000"/>
          <w:szCs w:val="22"/>
        </w:rPr>
        <w:t>If skin has been punctured encourage bleeding by gently squeezing.  Wash with soap and running warm water then dry and dress the wound.</w:t>
      </w:r>
    </w:p>
    <w:p w14:paraId="578826D3" w14:textId="77777777" w:rsidR="00AC6DA2" w:rsidRPr="001118C5" w:rsidRDefault="00AC6DA2" w:rsidP="00AC6DA2">
      <w:pPr>
        <w:numPr>
          <w:ilvl w:val="0"/>
          <w:numId w:val="29"/>
        </w:numPr>
        <w:rPr>
          <w:rFonts w:cs="Arial"/>
          <w:color w:val="FF0000"/>
          <w:szCs w:val="22"/>
        </w:rPr>
      </w:pPr>
      <w:r w:rsidRPr="001118C5">
        <w:rPr>
          <w:rFonts w:cs="Arial"/>
          <w:color w:val="FF0000"/>
          <w:szCs w:val="22"/>
        </w:rPr>
        <w:t>Splashes to the eyes: irrigate eyes thoroughly with eye wash / saline</w:t>
      </w:r>
    </w:p>
    <w:p w14:paraId="1D4649B7" w14:textId="77777777" w:rsidR="00AC6DA2" w:rsidRPr="001118C5" w:rsidRDefault="00AC6DA2" w:rsidP="00AC6DA2">
      <w:pPr>
        <w:numPr>
          <w:ilvl w:val="0"/>
          <w:numId w:val="29"/>
        </w:numPr>
        <w:rPr>
          <w:rFonts w:cs="Arial"/>
          <w:color w:val="FF0000"/>
          <w:szCs w:val="22"/>
        </w:rPr>
      </w:pPr>
      <w:r w:rsidRPr="001118C5">
        <w:rPr>
          <w:rFonts w:cs="Arial"/>
          <w:color w:val="FF0000"/>
          <w:szCs w:val="22"/>
        </w:rPr>
        <w:t>Splashes to the mouth: gargle with drinking water (avoid swallowing)</w:t>
      </w:r>
    </w:p>
    <w:p w14:paraId="2C86BBE3" w14:textId="77777777" w:rsidR="00AC6DA2" w:rsidRDefault="00AC6DA2" w:rsidP="00AC6DA2">
      <w:pPr>
        <w:ind w:left="448"/>
        <w:rPr>
          <w:rFonts w:cs="Arial"/>
          <w:szCs w:val="22"/>
        </w:rPr>
      </w:pPr>
      <w:r w:rsidRPr="001118C5">
        <w:rPr>
          <w:rFonts w:cs="Arial"/>
          <w:szCs w:val="22"/>
        </w:rPr>
        <w:t xml:space="preserve">Contact the Occupational Health Department / Emergency Department for guidance and report all adverse incidents to your line manager / complete an </w:t>
      </w:r>
      <w:r>
        <w:rPr>
          <w:rFonts w:cs="Arial"/>
          <w:szCs w:val="22"/>
        </w:rPr>
        <w:t>DATIX</w:t>
      </w:r>
      <w:r w:rsidRPr="001118C5">
        <w:rPr>
          <w:rFonts w:cs="Arial"/>
          <w:szCs w:val="22"/>
        </w:rPr>
        <w:t xml:space="preserve"> form.</w:t>
      </w:r>
    </w:p>
    <w:p w14:paraId="47E2B51A" w14:textId="77777777" w:rsidR="00667A8E" w:rsidRDefault="00667A8E" w:rsidP="00AC6DA2">
      <w:pPr>
        <w:spacing w:before="120" w:after="60"/>
        <w:ind w:left="901"/>
      </w:pPr>
    </w:p>
    <w:p w14:paraId="5F4A84C7" w14:textId="77777777" w:rsidR="000012D7" w:rsidRDefault="000D3F46" w:rsidP="000012D7">
      <w:pPr>
        <w:pStyle w:val="Heading1"/>
      </w:pPr>
      <w:bookmarkStart w:id="15" w:name="_Toc62677873"/>
      <w:r w:rsidRPr="000012D7">
        <w:lastRenderedPageBreak/>
        <w:t>Chemicals</w:t>
      </w:r>
      <w:r w:rsidR="008755D2" w:rsidRPr="000012D7">
        <w:t xml:space="preserve"> </w:t>
      </w:r>
      <w:bookmarkEnd w:id="13"/>
      <w:bookmarkEnd w:id="14"/>
      <w:r w:rsidR="000012D7" w:rsidRPr="000012D7">
        <w:t>(including COSHH Risk Assessment &amp; First Aid)</w:t>
      </w:r>
      <w:bookmarkEnd w:id="15"/>
    </w:p>
    <w:p w14:paraId="48D4BA6E" w14:textId="77777777" w:rsidR="00AC6DA2" w:rsidRPr="009B20C9" w:rsidRDefault="00AC6DA2" w:rsidP="00AC6DA2">
      <w:pPr>
        <w:pStyle w:val="Heading1"/>
        <w:numPr>
          <w:ilvl w:val="0"/>
          <w:numId w:val="0"/>
        </w:numPr>
        <w:ind w:left="432"/>
        <w:rPr>
          <w:b w:val="0"/>
        </w:rPr>
      </w:pPr>
      <w:r w:rsidRPr="009B20C9">
        <w:rPr>
          <w:b w:val="0"/>
        </w:rPr>
        <w:t xml:space="preserve">Contact with ACT-LR cuvettes or QC material may cause severe irritation to eyes, skin or mucous membranes. However, contact should be very unlikely if this SOP is followed. Dispose of used cuvettes via clinical waste. </w:t>
      </w:r>
    </w:p>
    <w:p w14:paraId="2400FCA2" w14:textId="77777777" w:rsidR="00AC6DA2" w:rsidRPr="009B20C9" w:rsidRDefault="00AC6DA2" w:rsidP="00AC6DA2">
      <w:pPr>
        <w:pStyle w:val="Heading1"/>
        <w:numPr>
          <w:ilvl w:val="0"/>
          <w:numId w:val="0"/>
        </w:numPr>
        <w:ind w:left="432"/>
        <w:rPr>
          <w:b w:val="0"/>
        </w:rPr>
      </w:pPr>
      <w:r w:rsidRPr="009B20C9">
        <w:rPr>
          <w:b w:val="0"/>
        </w:rPr>
        <w:t>Blood samples may constitute a biohazard. Please take usual precautions; i.e. wear gloves and employ routine hygiene techniques. All sharps must be disposed of in a sharps bin.</w:t>
      </w:r>
    </w:p>
    <w:p w14:paraId="54E89131" w14:textId="77777777" w:rsidR="00AC6DA2" w:rsidRPr="009B20C9" w:rsidRDefault="00AC6DA2" w:rsidP="00AC6DA2">
      <w:pPr>
        <w:rPr>
          <w:lang w:val="en-US"/>
        </w:rPr>
      </w:pPr>
    </w:p>
    <w:p w14:paraId="7916E36F" w14:textId="77777777" w:rsidR="00AC6DA2" w:rsidRPr="001118C5" w:rsidRDefault="00AC6DA2" w:rsidP="00AC6DA2">
      <w:pPr>
        <w:ind w:left="75"/>
        <w:rPr>
          <w:rFonts w:cs="Arial"/>
          <w:szCs w:val="22"/>
        </w:rPr>
      </w:pPr>
      <w:r w:rsidRPr="001118C5">
        <w:rPr>
          <w:rFonts w:cs="Arial"/>
          <w:b/>
          <w:bCs/>
          <w:szCs w:val="22"/>
        </w:rPr>
        <w:t xml:space="preserve">GENERAL FIRST AID                                                                        </w:t>
      </w:r>
      <w:r w:rsidRPr="001118C5">
        <w:rPr>
          <w:rFonts w:cs="Arial"/>
          <w:szCs w:val="22"/>
        </w:rPr>
        <w:object w:dxaOrig="1645" w:dyaOrig="1645" w14:anchorId="350E9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9.5pt" o:ole="" fillcolor="window">
            <v:imagedata r:id="rId10" o:title=""/>
          </v:shape>
          <o:OLEObject Type="Embed" ProgID="MS_ClipArt_Gallery" ShapeID="_x0000_i1025" DrawAspect="Content" ObjectID="_1721807840" r:id="rId11"/>
        </w:object>
      </w:r>
      <w:r w:rsidRPr="001118C5">
        <w:rPr>
          <w:rFonts w:cs="Arial"/>
          <w:szCs w:val="22"/>
        </w:rPr>
        <w:t xml:space="preserve">                                                                  </w:t>
      </w:r>
    </w:p>
    <w:p w14:paraId="7E2002F8" w14:textId="77777777" w:rsidR="00AC6DA2" w:rsidRPr="001118C5" w:rsidRDefault="00AC6DA2" w:rsidP="00AC6DA2">
      <w:pPr>
        <w:pStyle w:val="CHead3"/>
        <w:keepNext w:val="0"/>
        <w:spacing w:before="0" w:after="120"/>
        <w:rPr>
          <w:rFonts w:ascii="Arial" w:hAnsi="Arial" w:cs="Arial"/>
          <w:caps w:val="0"/>
        </w:rPr>
      </w:pPr>
      <w:r w:rsidRPr="001118C5">
        <w:rPr>
          <w:rFonts w:ascii="Arial" w:hAnsi="Arial" w:cs="Arial"/>
          <w:caps w:val="0"/>
        </w:rPr>
        <w:t>The following first aid guidelines may be applied to all the substances detailed in this SOP.</w:t>
      </w:r>
    </w:p>
    <w:p w14:paraId="2D1EE8CB" w14:textId="77777777" w:rsidR="00AC6DA2" w:rsidRPr="001118C5" w:rsidRDefault="00AC6DA2" w:rsidP="00AC6DA2">
      <w:pPr>
        <w:rPr>
          <w:rFonts w:cs="Arial"/>
          <w:szCs w:val="22"/>
        </w:rPr>
      </w:pPr>
      <w:r w:rsidRPr="001118C5">
        <w:rPr>
          <w:rFonts w:cs="Arial"/>
          <w:szCs w:val="22"/>
        </w:rPr>
        <w:t>Eyes: Irrigate thoroughly with water. At least 10 minutes is the recommended duration. Sterile saline is also available at the eye wash stations.</w:t>
      </w:r>
    </w:p>
    <w:p w14:paraId="15D58199" w14:textId="77777777" w:rsidR="00AC6DA2" w:rsidRPr="001118C5" w:rsidRDefault="00AC6DA2" w:rsidP="00AC6DA2">
      <w:pPr>
        <w:rPr>
          <w:rFonts w:cs="Arial"/>
          <w:szCs w:val="22"/>
        </w:rPr>
      </w:pPr>
      <w:r w:rsidRPr="001118C5">
        <w:rPr>
          <w:rFonts w:cs="Arial"/>
          <w:szCs w:val="22"/>
        </w:rPr>
        <w:t>Lungs: Remove from exposure, rest and keep warm.</w:t>
      </w:r>
    </w:p>
    <w:p w14:paraId="3AD999DB" w14:textId="77777777" w:rsidR="00AC6DA2" w:rsidRPr="001118C5" w:rsidRDefault="00AC6DA2" w:rsidP="00AC6DA2">
      <w:pPr>
        <w:rPr>
          <w:rFonts w:cs="Arial"/>
          <w:szCs w:val="22"/>
        </w:rPr>
      </w:pPr>
      <w:r w:rsidRPr="001118C5">
        <w:rPr>
          <w:rFonts w:cs="Arial"/>
          <w:szCs w:val="22"/>
        </w:rPr>
        <w:t>Skin: Wash substance off skin thoroughly with water. Remove contaminated clothing and wash before re-use.</w:t>
      </w:r>
    </w:p>
    <w:p w14:paraId="48F04724" w14:textId="77777777" w:rsidR="00AC6DA2" w:rsidRPr="001118C5" w:rsidRDefault="00AC6DA2" w:rsidP="00AC6DA2">
      <w:pPr>
        <w:rPr>
          <w:rFonts w:cs="Arial"/>
          <w:szCs w:val="22"/>
        </w:rPr>
      </w:pPr>
      <w:r w:rsidRPr="001118C5">
        <w:rPr>
          <w:rFonts w:cs="Arial"/>
          <w:szCs w:val="22"/>
        </w:rPr>
        <w:t>Mouth: Wash out mouth thoroughly with water and give plenty of water to drink.</w:t>
      </w:r>
    </w:p>
    <w:p w14:paraId="44E60F16" w14:textId="77777777" w:rsidR="00AC6DA2" w:rsidRDefault="00AC6DA2" w:rsidP="00AC6DA2">
      <w:pPr>
        <w:pStyle w:val="BodyText"/>
        <w:rPr>
          <w:rFonts w:cs="Arial"/>
          <w:szCs w:val="22"/>
        </w:rPr>
      </w:pPr>
      <w:r w:rsidRPr="001118C5">
        <w:rPr>
          <w:rFonts w:cs="Arial"/>
          <w:szCs w:val="22"/>
        </w:rPr>
        <w:t>Remember – If at all concerned about the nature or severity of the problem, SEEK MEDICAL ADVICE.</w:t>
      </w:r>
    </w:p>
    <w:p w14:paraId="48DDA51F" w14:textId="77777777" w:rsidR="00AC6DA2" w:rsidRDefault="00AC6DA2" w:rsidP="00AC6DA2">
      <w:pPr>
        <w:pStyle w:val="BodyText"/>
        <w:rPr>
          <w:rFonts w:cs="Arial"/>
          <w:szCs w:val="22"/>
        </w:rPr>
      </w:pPr>
    </w:p>
    <w:p w14:paraId="7A145FD7" w14:textId="77777777" w:rsidR="003F6285" w:rsidRDefault="003F6285" w:rsidP="000012D7">
      <w:pPr>
        <w:pStyle w:val="Heading1"/>
      </w:pPr>
      <w:bookmarkStart w:id="16" w:name="_Toc62677874"/>
      <w:r w:rsidRPr="002C0BC8">
        <w:t>Reagents</w:t>
      </w:r>
      <w:bookmarkEnd w:id="16"/>
    </w:p>
    <w:p w14:paraId="7AADA32D" w14:textId="77777777" w:rsidR="00F776C2" w:rsidRPr="009B20C9" w:rsidRDefault="00F776C2" w:rsidP="00F776C2">
      <w:pPr>
        <w:pStyle w:val="Heading1"/>
        <w:numPr>
          <w:ilvl w:val="0"/>
          <w:numId w:val="0"/>
        </w:numPr>
        <w:ind w:left="432"/>
        <w:rPr>
          <w:b w:val="0"/>
          <w:u w:val="single"/>
        </w:rPr>
      </w:pPr>
      <w:proofErr w:type="spellStart"/>
      <w:r w:rsidRPr="009B20C9">
        <w:rPr>
          <w:b w:val="0"/>
        </w:rPr>
        <w:t>Hemochron</w:t>
      </w:r>
      <w:proofErr w:type="spellEnd"/>
      <w:r w:rsidRPr="009B20C9">
        <w:rPr>
          <w:b w:val="0"/>
        </w:rPr>
        <w:t xml:space="preserve"> Jr. ACT-LR test cuvettes. </w:t>
      </w:r>
    </w:p>
    <w:p w14:paraId="725A0116" w14:textId="77777777" w:rsidR="00F776C2" w:rsidRPr="009B20C9" w:rsidRDefault="00F776C2" w:rsidP="00F776C2">
      <w:pPr>
        <w:pStyle w:val="Heading1"/>
        <w:numPr>
          <w:ilvl w:val="0"/>
          <w:numId w:val="0"/>
        </w:numPr>
        <w:ind w:left="432"/>
        <w:rPr>
          <w:b w:val="0"/>
        </w:rPr>
      </w:pPr>
      <w:proofErr w:type="spellStart"/>
      <w:r w:rsidRPr="009B20C9">
        <w:rPr>
          <w:b w:val="0"/>
        </w:rPr>
        <w:t>DirectCheck</w:t>
      </w:r>
      <w:proofErr w:type="spellEnd"/>
      <w:r w:rsidRPr="009B20C9">
        <w:rPr>
          <w:b w:val="0"/>
        </w:rPr>
        <w:t xml:space="preserve"> Quality Control - Normal and Abnormal</w:t>
      </w:r>
    </w:p>
    <w:p w14:paraId="01E8A00F" w14:textId="77777777" w:rsidR="00F776C2" w:rsidRDefault="00F776C2" w:rsidP="00F776C2">
      <w:pPr>
        <w:pStyle w:val="Heading1"/>
        <w:numPr>
          <w:ilvl w:val="0"/>
          <w:numId w:val="0"/>
        </w:numPr>
        <w:ind w:left="432"/>
        <w:rPr>
          <w:b w:val="0"/>
        </w:rPr>
      </w:pPr>
      <w:r w:rsidRPr="009B20C9">
        <w:rPr>
          <w:b w:val="0"/>
        </w:rPr>
        <w:t>Store cuvettes and liquid control material at 2-8°C until the manufacturer’s stated expiration date.  Cuvettes may be stored at room temperature (18-30°C) for 12 weeks and control at room temperature for 4 weeks but must be marked with new expiry date (12 or 4 weeks from date of removal – do not exceed manufacturer’s stated expiration date) when removed from the fridge. Cuvettes and controls should be at room temperature prior to use. Opened cuvettes or reconstituted QC material should be used immediately.</w:t>
      </w:r>
    </w:p>
    <w:p w14:paraId="545104B0" w14:textId="77777777" w:rsidR="00F776C2" w:rsidRPr="00F776C2" w:rsidRDefault="00F776C2" w:rsidP="00F776C2">
      <w:pPr>
        <w:rPr>
          <w:lang w:val="en-US"/>
        </w:rPr>
      </w:pPr>
    </w:p>
    <w:p w14:paraId="432DB858" w14:textId="77777777" w:rsidR="000012D7" w:rsidRDefault="000012D7" w:rsidP="000012D7">
      <w:pPr>
        <w:pStyle w:val="Heading1"/>
      </w:pPr>
      <w:bookmarkStart w:id="17" w:name="_Toc62677875"/>
      <w:r>
        <w:t>Risk Assessment</w:t>
      </w:r>
      <w:bookmarkEnd w:id="17"/>
    </w:p>
    <w:p w14:paraId="4C05E1BC" w14:textId="77777777" w:rsidR="00F776C2" w:rsidRDefault="00F776C2" w:rsidP="00F776C2">
      <w:pPr>
        <w:ind w:left="1080"/>
        <w:jc w:val="both"/>
      </w:pPr>
      <w:r>
        <w:t>See full risk assessment available on Q-Pulse</w:t>
      </w:r>
    </w:p>
    <w:p w14:paraId="18B1B401" w14:textId="77777777" w:rsidR="00F776C2" w:rsidRDefault="00F776C2" w:rsidP="00F776C2">
      <w:pPr>
        <w:ind w:left="1080"/>
        <w:jc w:val="both"/>
        <w:rPr>
          <w:i/>
          <w:color w:val="00B0F0"/>
        </w:rPr>
      </w:pPr>
      <w:r w:rsidRPr="00F776C2">
        <w:rPr>
          <w:i/>
          <w:color w:val="00B0F0"/>
        </w:rPr>
        <w:t>PC-HSR-HEMOCHRON</w:t>
      </w:r>
    </w:p>
    <w:p w14:paraId="74534182" w14:textId="77777777" w:rsidR="00F776C2" w:rsidRDefault="00F776C2" w:rsidP="00F776C2">
      <w:pPr>
        <w:ind w:left="1080"/>
        <w:jc w:val="both"/>
        <w:rPr>
          <w:i/>
          <w:color w:val="00B0F0"/>
        </w:rPr>
      </w:pPr>
    </w:p>
    <w:p w14:paraId="39050C71" w14:textId="77777777" w:rsidR="00F776C2" w:rsidRPr="00F776C2" w:rsidRDefault="00F776C2" w:rsidP="00F776C2">
      <w:pPr>
        <w:ind w:left="1080"/>
        <w:jc w:val="both"/>
        <w:rPr>
          <w:rFonts w:cs="Arial"/>
          <w:i/>
          <w:color w:val="00B0F0"/>
        </w:rPr>
      </w:pPr>
    </w:p>
    <w:p w14:paraId="11BB1A67" w14:textId="77777777" w:rsidR="009B344E" w:rsidRDefault="009B344E" w:rsidP="009B344E">
      <w:pPr>
        <w:ind w:left="1080"/>
        <w:jc w:val="both"/>
        <w:rPr>
          <w:rFonts w:cs="Arial"/>
        </w:rPr>
      </w:pPr>
      <w:r>
        <w:rPr>
          <w:noProof/>
          <w:color w:val="339966"/>
          <w:u w:val="single"/>
          <w:lang w:eastAsia="en-GB"/>
        </w:rPr>
        <w:lastRenderedPageBreak/>
        <mc:AlternateContent>
          <mc:Choice Requires="wps">
            <w:drawing>
              <wp:anchor distT="0" distB="0" distL="114300" distR="114300" simplePos="0" relativeHeight="251659264" behindDoc="0" locked="0" layoutInCell="1" allowOverlap="1" wp14:anchorId="0B9B208F" wp14:editId="593CD7E7">
                <wp:simplePos x="0" y="0"/>
                <wp:positionH relativeFrom="column">
                  <wp:posOffset>663385</wp:posOffset>
                </wp:positionH>
                <wp:positionV relativeFrom="paragraph">
                  <wp:posOffset>219809</wp:posOffset>
                </wp:positionV>
                <wp:extent cx="5485765" cy="1211283"/>
                <wp:effectExtent l="0" t="0" r="19685" b="27305"/>
                <wp:wrapNone/>
                <wp:docPr id="7" name="Rectangle 7"/>
                <wp:cNvGraphicFramePr/>
                <a:graphic xmlns:a="http://schemas.openxmlformats.org/drawingml/2006/main">
                  <a:graphicData uri="http://schemas.microsoft.com/office/word/2010/wordprocessingShape">
                    <wps:wsp>
                      <wps:cNvSpPr/>
                      <wps:spPr>
                        <a:xfrm>
                          <a:off x="0" y="0"/>
                          <a:ext cx="5485765" cy="12112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358ED" id="Rectangle 7" o:spid="_x0000_s1026" style="position:absolute;margin-left:52.25pt;margin-top:17.3pt;width:431.95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" filled="f" strokecolor="#243f60 [1604]" strokeweight="2pt"/>
            </w:pict>
          </mc:Fallback>
        </mc:AlternateContent>
      </w:r>
    </w:p>
    <w:p w14:paraId="51F0A29B" w14:textId="77777777" w:rsidR="009B344E" w:rsidRDefault="009B344E" w:rsidP="009B344E">
      <w:pPr>
        <w:pStyle w:val="ListParagraph"/>
        <w:shd w:val="clear" w:color="auto" w:fill="D9D9D9" w:themeFill="background1" w:themeFillShade="D9"/>
        <w:ind w:left="1080"/>
        <w:rPr>
          <w:color w:val="339966"/>
          <w:u w:val="single"/>
        </w:rPr>
      </w:pPr>
      <w:r w:rsidRPr="009B344E">
        <w:rPr>
          <w:color w:val="339966"/>
          <w:u w:val="single"/>
        </w:rPr>
        <w:t>COSHH and Risk Assessment</w:t>
      </w:r>
    </w:p>
    <w:p w14:paraId="179AEF33" w14:textId="77777777" w:rsidR="009B344E" w:rsidRDefault="009B344E" w:rsidP="009B344E">
      <w:pPr>
        <w:pStyle w:val="ListParagraph"/>
        <w:shd w:val="clear" w:color="auto" w:fill="D9D9D9" w:themeFill="background1" w:themeFillShade="D9"/>
        <w:ind w:left="1080"/>
        <w:rPr>
          <w:color w:val="339966"/>
          <w:u w:val="single"/>
        </w:rPr>
      </w:pPr>
    </w:p>
    <w:p w14:paraId="2DD737AB" w14:textId="77777777" w:rsidR="009B344E" w:rsidRDefault="009B344E" w:rsidP="009B344E">
      <w:pPr>
        <w:pStyle w:val="ListParagraph"/>
        <w:shd w:val="clear" w:color="auto" w:fill="D9D9D9" w:themeFill="background1" w:themeFillShade="D9"/>
        <w:ind w:left="1080"/>
        <w:rPr>
          <w:color w:val="00B050"/>
          <w:sz w:val="20"/>
        </w:rPr>
      </w:pPr>
      <w:r w:rsidRPr="009B344E">
        <w:rPr>
          <w:color w:val="00B050"/>
          <w:sz w:val="20"/>
        </w:rPr>
        <w:t>This SOP and the associated risk assessment(s) have considered all hazards and necessary precautions required to control any risks identified.  Where appropriate this is detailed in the COSHH assessment and Risk Assessment.  Any risk; where possible is mitigated and or monitored with health surveillance to ensure health and safety for all those affected by this procedure</w:t>
      </w:r>
    </w:p>
    <w:p w14:paraId="347F612E" w14:textId="77777777" w:rsidR="009B344E" w:rsidRPr="009B344E" w:rsidRDefault="009B344E" w:rsidP="009B344E">
      <w:pPr>
        <w:pStyle w:val="ListParagraph"/>
        <w:shd w:val="clear" w:color="auto" w:fill="D9D9D9" w:themeFill="background1" w:themeFillShade="D9"/>
        <w:ind w:left="1080"/>
        <w:rPr>
          <w:color w:val="00B050"/>
        </w:rPr>
      </w:pPr>
    </w:p>
    <w:p w14:paraId="15BFF52F" w14:textId="77777777" w:rsidR="006619CD" w:rsidRDefault="001E6134" w:rsidP="000012D7">
      <w:pPr>
        <w:pStyle w:val="Heading1"/>
      </w:pPr>
      <w:bookmarkStart w:id="18" w:name="_Toc62677876"/>
      <w:r>
        <w:t>Calibration</w:t>
      </w:r>
      <w:bookmarkEnd w:id="18"/>
      <w:r>
        <w:t xml:space="preserve"> </w:t>
      </w:r>
    </w:p>
    <w:p w14:paraId="002DCCE4" w14:textId="77777777" w:rsidR="00F776C2" w:rsidRPr="00AE1247" w:rsidRDefault="00F776C2" w:rsidP="00F776C2">
      <w:pPr>
        <w:rPr>
          <w:lang w:val="en-US"/>
        </w:rPr>
      </w:pPr>
      <w:r w:rsidRPr="00AE1247">
        <w:rPr>
          <w:lang w:val="en-US"/>
        </w:rPr>
        <w:t xml:space="preserve">No calibration by the user is required for the </w:t>
      </w:r>
      <w:proofErr w:type="spellStart"/>
      <w:r w:rsidRPr="00AE1247">
        <w:rPr>
          <w:lang w:val="en-US"/>
        </w:rPr>
        <w:t>Hemochron</w:t>
      </w:r>
      <w:proofErr w:type="spellEnd"/>
      <w:r w:rsidRPr="00AE1247">
        <w:rPr>
          <w:lang w:val="en-US"/>
        </w:rPr>
        <w:t xml:space="preserve"> Signature Elite®. The </w:t>
      </w:r>
      <w:proofErr w:type="spellStart"/>
      <w:r w:rsidRPr="00AE1247">
        <w:rPr>
          <w:lang w:val="en-US"/>
        </w:rPr>
        <w:t>Hemochron</w:t>
      </w:r>
      <w:proofErr w:type="spellEnd"/>
      <w:r w:rsidRPr="00AE1247">
        <w:rPr>
          <w:lang w:val="en-US"/>
        </w:rPr>
        <w:t xml:space="preserve"> is calibrated at the manufacturing facility to test and verify all functions.  In addition, the </w:t>
      </w:r>
      <w:proofErr w:type="spellStart"/>
      <w:r w:rsidRPr="00AE1247">
        <w:rPr>
          <w:lang w:val="en-US"/>
        </w:rPr>
        <w:t>Hemochron</w:t>
      </w:r>
      <w:proofErr w:type="spellEnd"/>
      <w:r w:rsidRPr="00AE1247">
        <w:rPr>
          <w:lang w:val="en-US"/>
        </w:rPr>
        <w:t xml:space="preserve"> is self-calibrating; all instrument functions are continuously monitored and verified by the software when a test is performed.</w:t>
      </w:r>
    </w:p>
    <w:p w14:paraId="7819FEDF" w14:textId="77777777" w:rsidR="00F776C2" w:rsidRPr="00F776C2" w:rsidRDefault="00F776C2" w:rsidP="00F776C2">
      <w:pPr>
        <w:ind w:left="432"/>
        <w:rPr>
          <w:lang w:val="en-US"/>
        </w:rPr>
      </w:pPr>
    </w:p>
    <w:p w14:paraId="1853AC20" w14:textId="77777777" w:rsidR="001E6134" w:rsidRDefault="001E6134" w:rsidP="000012D7">
      <w:pPr>
        <w:pStyle w:val="Heading1"/>
      </w:pPr>
      <w:bookmarkStart w:id="19" w:name="_Toc62677877"/>
      <w:bookmarkStart w:id="20" w:name="_Toc213598303"/>
      <w:bookmarkStart w:id="21" w:name="_Toc213598529"/>
      <w:r>
        <w:lastRenderedPageBreak/>
        <w:t>Quality Control</w:t>
      </w:r>
      <w:bookmarkEnd w:id="19"/>
    </w:p>
    <w:p w14:paraId="5CFEF3E8" w14:textId="77777777" w:rsidR="00F776C2" w:rsidRPr="00AE1247" w:rsidRDefault="00F776C2" w:rsidP="00F776C2">
      <w:pPr>
        <w:keepNext/>
        <w:spacing w:before="120" w:after="60"/>
        <w:outlineLvl w:val="1"/>
        <w:rPr>
          <w:rFonts w:cs="Arial"/>
          <w:szCs w:val="22"/>
          <w:u w:val="single"/>
        </w:rPr>
      </w:pPr>
      <w:r w:rsidRPr="00AE1247">
        <w:rPr>
          <w:rFonts w:cs="Arial"/>
          <w:szCs w:val="22"/>
        </w:rPr>
        <w:t xml:space="preserve">Electronic QC Check (EQC) provides a two-level electronic verification of instrument performance plus a verification of the temperature.  If one result fails, the test will stop and all results will be recorded as “failed”. It is required every 8 hours of patient testing, and the </w:t>
      </w:r>
      <w:proofErr w:type="spellStart"/>
      <w:r w:rsidRPr="00AE1247">
        <w:rPr>
          <w:rFonts w:cs="Arial"/>
          <w:szCs w:val="22"/>
        </w:rPr>
        <w:t>Hemochron</w:t>
      </w:r>
      <w:proofErr w:type="spellEnd"/>
      <w:r w:rsidRPr="00AE1247">
        <w:rPr>
          <w:rFonts w:cs="Arial"/>
          <w:szCs w:val="22"/>
        </w:rPr>
        <w:t xml:space="preserve"> will lock out operation if it is not performed (if the meter is kept switched on). EQC will be performed automatically if the </w:t>
      </w:r>
      <w:proofErr w:type="spellStart"/>
      <w:r w:rsidRPr="00AE1247">
        <w:rPr>
          <w:rFonts w:cs="Arial"/>
          <w:szCs w:val="22"/>
        </w:rPr>
        <w:t>Hemochron</w:t>
      </w:r>
      <w:proofErr w:type="spellEnd"/>
      <w:r w:rsidRPr="00AE1247">
        <w:rPr>
          <w:rFonts w:cs="Arial"/>
          <w:szCs w:val="22"/>
        </w:rPr>
        <w:t xml:space="preserve"> is plugged into the AC/DC power module and is turned on. Routinely, however, the meter is not kept turned on, so EQC should be performed manually on a daily basis. To perform an EQC manually press the QC button followed by the 1 key. When the test is completed, results will be displayed and written to the QC database. Press the CANCEL button to exit the screen. All results of the EQC test should be recorded on the daily QC chart kept with the </w:t>
      </w:r>
      <w:proofErr w:type="spellStart"/>
      <w:r w:rsidRPr="00AE1247">
        <w:rPr>
          <w:rFonts w:cs="Arial"/>
          <w:szCs w:val="22"/>
        </w:rPr>
        <w:t>Hemochron</w:t>
      </w:r>
      <w:proofErr w:type="spellEnd"/>
      <w:r w:rsidRPr="00AE1247">
        <w:rPr>
          <w:rFonts w:cs="Arial"/>
          <w:szCs w:val="22"/>
        </w:rPr>
        <w:t>.</w:t>
      </w:r>
    </w:p>
    <w:p w14:paraId="3BDFF288" w14:textId="77777777" w:rsidR="00F776C2" w:rsidRPr="00AE1247" w:rsidRDefault="00F776C2" w:rsidP="00F776C2">
      <w:pPr>
        <w:keepNext/>
        <w:spacing w:before="120" w:after="60"/>
        <w:outlineLvl w:val="1"/>
        <w:rPr>
          <w:rFonts w:cs="Arial"/>
          <w:b/>
          <w:szCs w:val="22"/>
        </w:rPr>
      </w:pPr>
      <w:r w:rsidRPr="00AE1247">
        <w:rPr>
          <w:rFonts w:cs="Arial"/>
          <w:b/>
          <w:szCs w:val="22"/>
        </w:rPr>
        <w:t>Liquid QC Checks</w:t>
      </w:r>
    </w:p>
    <w:p w14:paraId="196830C9" w14:textId="77777777" w:rsidR="00F776C2" w:rsidRPr="00AE1247" w:rsidRDefault="00F776C2" w:rsidP="00F776C2">
      <w:pPr>
        <w:keepNext/>
        <w:tabs>
          <w:tab w:val="num" w:pos="600"/>
        </w:tabs>
        <w:jc w:val="both"/>
        <w:rPr>
          <w:rFonts w:cs="Arial"/>
          <w:szCs w:val="22"/>
        </w:rPr>
      </w:pPr>
      <w:r w:rsidRPr="00AE1247">
        <w:rPr>
          <w:rFonts w:cs="Arial"/>
          <w:szCs w:val="22"/>
        </w:rPr>
        <w:t xml:space="preserve">Normal and abnormal liquid quality controls (LQC) are performed: </w:t>
      </w:r>
    </w:p>
    <w:p w14:paraId="4D245FA4" w14:textId="77777777" w:rsidR="00F776C2" w:rsidRPr="00AE1247" w:rsidRDefault="00F776C2" w:rsidP="00F776C2">
      <w:pPr>
        <w:keepNext/>
        <w:ind w:left="57"/>
        <w:jc w:val="both"/>
        <w:rPr>
          <w:rFonts w:cs="Arial"/>
          <w:szCs w:val="22"/>
        </w:rPr>
      </w:pPr>
      <w:r w:rsidRPr="00AE1247">
        <w:rPr>
          <w:rFonts w:cs="Arial"/>
          <w:szCs w:val="22"/>
        </w:rPr>
        <w:t xml:space="preserve">With each new shipment / lot of cuvettes </w:t>
      </w:r>
    </w:p>
    <w:p w14:paraId="07760181" w14:textId="77777777" w:rsidR="00F776C2" w:rsidRPr="00AE1247" w:rsidRDefault="00F776C2" w:rsidP="00F776C2">
      <w:pPr>
        <w:keepNext/>
        <w:ind w:left="57"/>
        <w:jc w:val="both"/>
        <w:rPr>
          <w:rFonts w:cs="Arial"/>
          <w:szCs w:val="22"/>
        </w:rPr>
      </w:pPr>
      <w:r w:rsidRPr="00AE1247">
        <w:rPr>
          <w:rFonts w:cs="Arial"/>
          <w:szCs w:val="22"/>
        </w:rPr>
        <w:t xml:space="preserve">Every 30 days </w:t>
      </w:r>
    </w:p>
    <w:p w14:paraId="55246D0E" w14:textId="77777777" w:rsidR="00F776C2" w:rsidRPr="00AE1247" w:rsidRDefault="00F776C2" w:rsidP="00F776C2">
      <w:pPr>
        <w:keepNext/>
        <w:ind w:left="57"/>
        <w:jc w:val="both"/>
        <w:rPr>
          <w:rFonts w:cs="Arial"/>
          <w:szCs w:val="22"/>
        </w:rPr>
      </w:pPr>
      <w:r w:rsidRPr="00AE1247">
        <w:rPr>
          <w:rFonts w:cs="Arial"/>
          <w:szCs w:val="22"/>
        </w:rPr>
        <w:t xml:space="preserve">When a shift in clinical results is suspected </w:t>
      </w:r>
    </w:p>
    <w:p w14:paraId="71789EF4" w14:textId="77777777" w:rsidR="00F776C2" w:rsidRPr="00AE1247" w:rsidRDefault="00F776C2" w:rsidP="00F776C2">
      <w:pPr>
        <w:keepNext/>
        <w:ind w:left="57"/>
        <w:jc w:val="both"/>
        <w:rPr>
          <w:rFonts w:cs="Arial"/>
          <w:b/>
          <w:szCs w:val="22"/>
        </w:rPr>
      </w:pPr>
      <w:r w:rsidRPr="00AE1247">
        <w:rPr>
          <w:rFonts w:cs="Arial"/>
          <w:b/>
          <w:szCs w:val="22"/>
        </w:rPr>
        <w:t>Procedure:</w:t>
      </w:r>
    </w:p>
    <w:p w14:paraId="3B76F3EC" w14:textId="77777777" w:rsidR="00F776C2" w:rsidRPr="00AE1247" w:rsidRDefault="00F776C2" w:rsidP="00F776C2">
      <w:pPr>
        <w:keepNext/>
        <w:spacing w:before="120" w:after="60"/>
        <w:ind w:left="1083"/>
        <w:outlineLvl w:val="2"/>
        <w:rPr>
          <w:szCs w:val="22"/>
        </w:rPr>
      </w:pPr>
      <w:r w:rsidRPr="00AE1247">
        <w:rPr>
          <w:szCs w:val="22"/>
        </w:rPr>
        <w:t xml:space="preserve">Remove the ACT-LR test cuvettes and the </w:t>
      </w:r>
      <w:proofErr w:type="spellStart"/>
      <w:r w:rsidRPr="00AE1247">
        <w:rPr>
          <w:szCs w:val="22"/>
        </w:rPr>
        <w:t>DirectCheck</w:t>
      </w:r>
      <w:proofErr w:type="spellEnd"/>
      <w:r w:rsidRPr="00AE1247">
        <w:rPr>
          <w:szCs w:val="22"/>
        </w:rPr>
        <w:t xml:space="preserve"> vials (normal and abnormal control material) from the refrigerator; to come to room temperature; this may take up to 60 minutes. </w:t>
      </w:r>
    </w:p>
    <w:p w14:paraId="5D78732F" w14:textId="77777777" w:rsidR="00F776C2" w:rsidRPr="00AE1247" w:rsidRDefault="00F776C2" w:rsidP="00F776C2">
      <w:pPr>
        <w:keepNext/>
        <w:spacing w:before="120" w:after="60"/>
        <w:ind w:left="1083"/>
        <w:outlineLvl w:val="2"/>
        <w:rPr>
          <w:szCs w:val="22"/>
        </w:rPr>
      </w:pPr>
      <w:r w:rsidRPr="00AE1247">
        <w:rPr>
          <w:szCs w:val="22"/>
        </w:rPr>
        <w:t xml:space="preserve">Check expiry date on all reagents and visually inspect the control vials to ensure that the glass ampoule is intact. </w:t>
      </w:r>
    </w:p>
    <w:p w14:paraId="70E7B2BB" w14:textId="77777777" w:rsidR="00F776C2" w:rsidRPr="00AE1247" w:rsidRDefault="00F776C2" w:rsidP="00F776C2">
      <w:pPr>
        <w:keepNext/>
        <w:spacing w:before="120" w:after="60"/>
        <w:ind w:left="1083"/>
        <w:outlineLvl w:val="2"/>
        <w:rPr>
          <w:szCs w:val="22"/>
        </w:rPr>
      </w:pPr>
      <w:r w:rsidRPr="00AE1247">
        <w:rPr>
          <w:szCs w:val="22"/>
        </w:rPr>
        <w:t xml:space="preserve">After reagents have reached room temperature, insert an ACT-LR cuvette into the cuvette slot on the side of the </w:t>
      </w:r>
      <w:proofErr w:type="spellStart"/>
      <w:r w:rsidRPr="00AE1247">
        <w:rPr>
          <w:szCs w:val="22"/>
        </w:rPr>
        <w:t>Hemochron</w:t>
      </w:r>
      <w:proofErr w:type="spellEnd"/>
      <w:r w:rsidRPr="00AE1247">
        <w:rPr>
          <w:szCs w:val="22"/>
        </w:rPr>
        <w:t xml:space="preserve">. </w:t>
      </w:r>
    </w:p>
    <w:p w14:paraId="03C095EA" w14:textId="77777777" w:rsidR="00F776C2" w:rsidRPr="00AE1247" w:rsidRDefault="00F776C2" w:rsidP="00F776C2">
      <w:pPr>
        <w:keepNext/>
        <w:spacing w:before="120" w:after="60"/>
        <w:ind w:left="1083"/>
        <w:outlineLvl w:val="2"/>
        <w:rPr>
          <w:szCs w:val="22"/>
        </w:rPr>
      </w:pPr>
      <w:r w:rsidRPr="00AE1247">
        <w:rPr>
          <w:szCs w:val="22"/>
        </w:rPr>
        <w:t xml:space="preserve">If LQC is due, select the QC being run (QC Normal / QC Abnormal). If LQC is not ‘due’ but is being run, press the QC key and select QC Normal / QC Abnormal. If the QC key / level of QC is not selected, the </w:t>
      </w:r>
      <w:proofErr w:type="spellStart"/>
      <w:r w:rsidRPr="00AE1247">
        <w:rPr>
          <w:szCs w:val="22"/>
        </w:rPr>
        <w:t>Hemochron</w:t>
      </w:r>
      <w:proofErr w:type="spellEnd"/>
      <w:r w:rsidRPr="00AE1247">
        <w:rPr>
          <w:szCs w:val="22"/>
        </w:rPr>
        <w:t xml:space="preserve"> will identify the test as a patient test. </w:t>
      </w:r>
    </w:p>
    <w:p w14:paraId="0E43EDBB" w14:textId="77777777" w:rsidR="00F776C2" w:rsidRPr="00AE1247" w:rsidRDefault="00F776C2" w:rsidP="00F776C2">
      <w:pPr>
        <w:keepNext/>
        <w:spacing w:before="120" w:after="60"/>
        <w:ind w:left="1083"/>
        <w:outlineLvl w:val="2"/>
        <w:rPr>
          <w:szCs w:val="22"/>
        </w:rPr>
      </w:pPr>
      <w:r w:rsidRPr="00AE1247">
        <w:rPr>
          <w:szCs w:val="22"/>
        </w:rPr>
        <w:t xml:space="preserve">When LQC is due, the </w:t>
      </w:r>
      <w:proofErr w:type="spellStart"/>
      <w:r w:rsidRPr="00AE1247">
        <w:rPr>
          <w:szCs w:val="22"/>
        </w:rPr>
        <w:t>Hemochron</w:t>
      </w:r>
      <w:proofErr w:type="spellEnd"/>
      <w:r w:rsidRPr="00AE1247">
        <w:rPr>
          <w:szCs w:val="22"/>
        </w:rPr>
        <w:t xml:space="preserve"> will lock-out operation. </w:t>
      </w:r>
    </w:p>
    <w:p w14:paraId="5F03C97E" w14:textId="77777777" w:rsidR="00F776C2" w:rsidRPr="00AE1247" w:rsidRDefault="00F776C2" w:rsidP="00F776C2">
      <w:pPr>
        <w:keepNext/>
        <w:spacing w:before="120" w:after="60"/>
        <w:ind w:left="1083"/>
        <w:outlineLvl w:val="2"/>
        <w:rPr>
          <w:szCs w:val="22"/>
        </w:rPr>
      </w:pPr>
      <w:r w:rsidRPr="00AE1247">
        <w:rPr>
          <w:szCs w:val="22"/>
        </w:rPr>
        <w:t xml:space="preserve">The </w:t>
      </w:r>
      <w:proofErr w:type="spellStart"/>
      <w:r w:rsidRPr="00AE1247">
        <w:rPr>
          <w:szCs w:val="22"/>
        </w:rPr>
        <w:t>Hemochron</w:t>
      </w:r>
      <w:proofErr w:type="spellEnd"/>
      <w:r w:rsidRPr="00AE1247">
        <w:rPr>
          <w:szCs w:val="22"/>
        </w:rPr>
        <w:t xml:space="preserve"> will signal when ready with an audible tone (beep) and the display will indicate “ADD SAMPLE” and “PRESS START.” </w:t>
      </w:r>
    </w:p>
    <w:p w14:paraId="2F55C735" w14:textId="77777777" w:rsidR="00F776C2" w:rsidRPr="00AE1247" w:rsidRDefault="00F776C2" w:rsidP="00F776C2">
      <w:pPr>
        <w:keepNext/>
        <w:spacing w:before="120" w:after="60"/>
        <w:ind w:left="1083"/>
        <w:outlineLvl w:val="2"/>
        <w:rPr>
          <w:szCs w:val="22"/>
        </w:rPr>
      </w:pPr>
      <w:r w:rsidRPr="00AE1247">
        <w:rPr>
          <w:szCs w:val="22"/>
        </w:rPr>
        <w:t xml:space="preserve">Reconstitute the QC dropper vial (begin with the normal level): </w:t>
      </w:r>
    </w:p>
    <w:p w14:paraId="08C80D54" w14:textId="77777777" w:rsidR="00F776C2" w:rsidRPr="00AE1247" w:rsidRDefault="00F776C2" w:rsidP="00F776C2">
      <w:pPr>
        <w:keepNext/>
        <w:spacing w:before="120" w:after="60"/>
        <w:ind w:left="1083"/>
        <w:outlineLvl w:val="2"/>
        <w:rPr>
          <w:i/>
          <w:szCs w:val="22"/>
        </w:rPr>
      </w:pPr>
      <w:r w:rsidRPr="00AE1247">
        <w:rPr>
          <w:szCs w:val="22"/>
        </w:rPr>
        <w:t>Remove the top of the plastic seal from the QC vial.</w:t>
      </w:r>
    </w:p>
    <w:p w14:paraId="7DB41785" w14:textId="77777777" w:rsidR="00F776C2" w:rsidRPr="00AE1247" w:rsidRDefault="00F776C2" w:rsidP="00F776C2">
      <w:pPr>
        <w:keepNext/>
        <w:spacing w:before="120" w:after="60"/>
        <w:ind w:left="1083"/>
        <w:outlineLvl w:val="2"/>
        <w:rPr>
          <w:i/>
          <w:szCs w:val="22"/>
        </w:rPr>
      </w:pPr>
      <w:r w:rsidRPr="00AE1247">
        <w:rPr>
          <w:szCs w:val="22"/>
        </w:rPr>
        <w:t xml:space="preserve">Insert the QC vial into the white protective sleeve. </w:t>
      </w:r>
    </w:p>
    <w:p w14:paraId="00F73884" w14:textId="77777777" w:rsidR="00F776C2" w:rsidRPr="00AE1247" w:rsidRDefault="00F776C2" w:rsidP="00F776C2">
      <w:pPr>
        <w:keepNext/>
        <w:spacing w:before="120" w:after="60"/>
        <w:ind w:left="1083"/>
        <w:outlineLvl w:val="2"/>
        <w:rPr>
          <w:i/>
          <w:szCs w:val="22"/>
        </w:rPr>
      </w:pPr>
      <w:r w:rsidRPr="00AE1247">
        <w:rPr>
          <w:szCs w:val="22"/>
        </w:rPr>
        <w:t>Holding the vial upright, tap the QC vial on the table</w:t>
      </w:r>
      <w:r>
        <w:rPr>
          <w:szCs w:val="22"/>
        </w:rPr>
        <w:t xml:space="preserve"> </w:t>
      </w:r>
      <w:r w:rsidRPr="00AE1247">
        <w:rPr>
          <w:szCs w:val="22"/>
        </w:rPr>
        <w:t xml:space="preserve">top to settle the inner glass ampoule to the bottom of the vial. </w:t>
      </w:r>
    </w:p>
    <w:p w14:paraId="273FC259" w14:textId="77777777" w:rsidR="00F776C2" w:rsidRPr="00AE1247" w:rsidRDefault="00F776C2" w:rsidP="00F776C2">
      <w:pPr>
        <w:keepNext/>
        <w:spacing w:before="120" w:after="60"/>
        <w:ind w:left="1083"/>
        <w:outlineLvl w:val="2"/>
        <w:rPr>
          <w:i/>
          <w:szCs w:val="22"/>
        </w:rPr>
      </w:pPr>
      <w:r w:rsidRPr="00AE1247">
        <w:rPr>
          <w:szCs w:val="22"/>
        </w:rPr>
        <w:t>Crush the inner glass ampoule by either bending the vial over the edge of a table</w:t>
      </w:r>
      <w:r>
        <w:rPr>
          <w:szCs w:val="22"/>
        </w:rPr>
        <w:t xml:space="preserve"> </w:t>
      </w:r>
      <w:r w:rsidRPr="00AE1247">
        <w:rPr>
          <w:szCs w:val="22"/>
        </w:rPr>
        <w:t xml:space="preserve">top or by crushing the vial between two fingers. </w:t>
      </w:r>
    </w:p>
    <w:p w14:paraId="540F921F" w14:textId="77777777" w:rsidR="00F776C2" w:rsidRPr="00AE1247" w:rsidRDefault="00F776C2" w:rsidP="00F776C2">
      <w:pPr>
        <w:keepNext/>
        <w:spacing w:before="120" w:after="60"/>
        <w:ind w:left="1083"/>
        <w:outlineLvl w:val="2"/>
        <w:rPr>
          <w:i/>
          <w:szCs w:val="22"/>
        </w:rPr>
      </w:pPr>
      <w:r w:rsidRPr="00AE1247">
        <w:rPr>
          <w:szCs w:val="22"/>
        </w:rPr>
        <w:t xml:space="preserve">Immediately repeat the crushing action one to two additional times to ensure complete breakage of the glass ampoule. </w:t>
      </w:r>
    </w:p>
    <w:p w14:paraId="746580AB" w14:textId="77777777" w:rsidR="00F776C2" w:rsidRPr="00AE1247" w:rsidRDefault="00F776C2" w:rsidP="00F776C2">
      <w:pPr>
        <w:keepNext/>
        <w:spacing w:before="120" w:after="60"/>
        <w:ind w:left="1083"/>
        <w:outlineLvl w:val="2"/>
        <w:rPr>
          <w:i/>
          <w:szCs w:val="22"/>
        </w:rPr>
      </w:pPr>
      <w:r w:rsidRPr="00AE1247">
        <w:rPr>
          <w:szCs w:val="22"/>
        </w:rPr>
        <w:t xml:space="preserve">Quickly invert the dropper vial end to end </w:t>
      </w:r>
    </w:p>
    <w:p w14:paraId="75061AB3" w14:textId="77777777" w:rsidR="00F776C2" w:rsidRPr="00AE1247" w:rsidRDefault="00F776C2" w:rsidP="00F776C2">
      <w:pPr>
        <w:keepNext/>
        <w:spacing w:before="120" w:after="60"/>
        <w:ind w:left="1083"/>
        <w:outlineLvl w:val="2"/>
        <w:rPr>
          <w:i/>
          <w:szCs w:val="22"/>
        </w:rPr>
      </w:pPr>
      <w:r w:rsidRPr="00AE1247">
        <w:rPr>
          <w:szCs w:val="22"/>
        </w:rPr>
        <w:lastRenderedPageBreak/>
        <w:t xml:space="preserve">While inverting the vial (dropper tip down), use a downward snapping motion of the wrist to ensure the control material flows to the dropper tip. </w:t>
      </w:r>
    </w:p>
    <w:p w14:paraId="063B4B87" w14:textId="77777777" w:rsidR="00F776C2" w:rsidRPr="00AE1247" w:rsidRDefault="00F776C2" w:rsidP="00F776C2">
      <w:pPr>
        <w:keepNext/>
        <w:spacing w:before="120" w:after="60"/>
        <w:ind w:left="1083"/>
        <w:outlineLvl w:val="2"/>
        <w:rPr>
          <w:i/>
          <w:szCs w:val="22"/>
        </w:rPr>
      </w:pPr>
      <w:r w:rsidRPr="00AE1247">
        <w:rPr>
          <w:szCs w:val="22"/>
        </w:rPr>
        <w:t xml:space="preserve">Remove and retain the vial cap. </w:t>
      </w:r>
    </w:p>
    <w:p w14:paraId="2BCD2F52" w14:textId="77777777" w:rsidR="00F776C2" w:rsidRPr="00AE1247" w:rsidRDefault="00F776C2" w:rsidP="00F776C2">
      <w:pPr>
        <w:keepNext/>
        <w:spacing w:before="120" w:after="60"/>
        <w:ind w:left="1083"/>
        <w:outlineLvl w:val="2"/>
        <w:rPr>
          <w:szCs w:val="22"/>
        </w:rPr>
      </w:pPr>
      <w:r w:rsidRPr="00AE1247">
        <w:rPr>
          <w:szCs w:val="22"/>
        </w:rPr>
        <w:t xml:space="preserve">Squeeze the vial to discard the first drop of control material into the vial cap. </w:t>
      </w:r>
    </w:p>
    <w:p w14:paraId="799D15E2" w14:textId="77777777" w:rsidR="00F776C2" w:rsidRPr="00AE1247" w:rsidRDefault="00F776C2" w:rsidP="00F776C2">
      <w:pPr>
        <w:keepNext/>
        <w:spacing w:before="120" w:after="60"/>
        <w:ind w:left="1083"/>
        <w:outlineLvl w:val="2"/>
        <w:rPr>
          <w:szCs w:val="22"/>
        </w:rPr>
      </w:pPr>
      <w:r w:rsidRPr="00AE1247">
        <w:rPr>
          <w:szCs w:val="22"/>
        </w:rPr>
        <w:t xml:space="preserve">Immediately dispense as many drops of control material as needed to fill the cuvette sample well flush to the top. Should a large dome extend over the top of the centre sample well, push it over into the outer sample well. </w:t>
      </w:r>
    </w:p>
    <w:p w14:paraId="1A5D68AE" w14:textId="77777777" w:rsidR="00F776C2" w:rsidRPr="00AE1247" w:rsidRDefault="00F776C2" w:rsidP="00F776C2">
      <w:pPr>
        <w:keepNext/>
        <w:spacing w:before="120" w:after="60"/>
        <w:ind w:left="1083"/>
        <w:outlineLvl w:val="2"/>
        <w:rPr>
          <w:szCs w:val="22"/>
        </w:rPr>
      </w:pPr>
      <w:r w:rsidRPr="00AE1247">
        <w:rPr>
          <w:szCs w:val="22"/>
        </w:rPr>
        <w:t xml:space="preserve">Press the START key on the </w:t>
      </w:r>
      <w:proofErr w:type="spellStart"/>
      <w:r w:rsidRPr="00AE1247">
        <w:rPr>
          <w:szCs w:val="22"/>
        </w:rPr>
        <w:t>Hemochron</w:t>
      </w:r>
      <w:proofErr w:type="spellEnd"/>
      <w:r w:rsidRPr="00AE1247">
        <w:rPr>
          <w:szCs w:val="22"/>
        </w:rPr>
        <w:t xml:space="preserve">. </w:t>
      </w:r>
    </w:p>
    <w:p w14:paraId="0C858C25" w14:textId="77777777" w:rsidR="00F776C2" w:rsidRPr="00AE1247" w:rsidRDefault="00F776C2" w:rsidP="00F776C2">
      <w:pPr>
        <w:keepNext/>
        <w:spacing w:before="120" w:after="60"/>
        <w:ind w:left="1083"/>
        <w:outlineLvl w:val="2"/>
        <w:rPr>
          <w:szCs w:val="22"/>
        </w:rPr>
      </w:pPr>
      <w:r w:rsidRPr="00AE1247">
        <w:rPr>
          <w:szCs w:val="22"/>
        </w:rPr>
        <w:t>Recap the control vial and remove the vial from the protective sleeve. Discard the vial and vial cap in a sharps bin; retain the protective sleeve for reuse.</w:t>
      </w:r>
    </w:p>
    <w:p w14:paraId="7A5E0C01" w14:textId="77777777" w:rsidR="00F776C2" w:rsidRPr="00AE1247" w:rsidRDefault="00F776C2" w:rsidP="00F776C2">
      <w:pPr>
        <w:keepNext/>
        <w:spacing w:before="120" w:after="60"/>
        <w:ind w:left="1083"/>
        <w:outlineLvl w:val="2"/>
        <w:rPr>
          <w:szCs w:val="22"/>
        </w:rPr>
      </w:pPr>
      <w:r w:rsidRPr="00AE1247">
        <w:rPr>
          <w:szCs w:val="22"/>
        </w:rPr>
        <w:t xml:space="preserve">Wait for a single beep signalling the end of the test. (Two beeps indicate a fault condition). </w:t>
      </w:r>
    </w:p>
    <w:p w14:paraId="04FF74C8" w14:textId="77777777" w:rsidR="00F776C2" w:rsidRPr="00AE1247" w:rsidRDefault="00F776C2" w:rsidP="00F776C2">
      <w:pPr>
        <w:keepNext/>
        <w:spacing w:before="120" w:after="60"/>
        <w:ind w:left="1083"/>
        <w:outlineLvl w:val="2"/>
        <w:rPr>
          <w:szCs w:val="22"/>
        </w:rPr>
      </w:pPr>
      <w:r w:rsidRPr="00AE1247">
        <w:rPr>
          <w:szCs w:val="22"/>
        </w:rPr>
        <w:t xml:space="preserve">The result is displayed as the Celite equivalent clotting time. Document the QC result.  Note: The </w:t>
      </w:r>
      <w:proofErr w:type="spellStart"/>
      <w:r w:rsidRPr="00AE1247">
        <w:rPr>
          <w:szCs w:val="22"/>
        </w:rPr>
        <w:t>Hemochron</w:t>
      </w:r>
      <w:proofErr w:type="spellEnd"/>
      <w:r w:rsidRPr="00AE1247">
        <w:rPr>
          <w:szCs w:val="22"/>
        </w:rPr>
        <w:t xml:space="preserve"> Signature Elite® may be programmed for the result to display as “Pass” or “Fail”. </w:t>
      </w:r>
    </w:p>
    <w:p w14:paraId="572FDE38" w14:textId="77777777" w:rsidR="00F776C2" w:rsidRPr="00AE1247" w:rsidRDefault="00F776C2" w:rsidP="00F776C2">
      <w:pPr>
        <w:keepNext/>
        <w:spacing w:before="120" w:after="60"/>
        <w:ind w:left="1083"/>
        <w:outlineLvl w:val="2"/>
        <w:rPr>
          <w:szCs w:val="22"/>
        </w:rPr>
      </w:pPr>
      <w:r w:rsidRPr="00AE1247">
        <w:rPr>
          <w:szCs w:val="22"/>
        </w:rPr>
        <w:t xml:space="preserve">Compare the result with the acceptable range published on the </w:t>
      </w:r>
      <w:proofErr w:type="spellStart"/>
      <w:r w:rsidRPr="00AE1247">
        <w:rPr>
          <w:szCs w:val="22"/>
        </w:rPr>
        <w:t>DirectCheck</w:t>
      </w:r>
      <w:proofErr w:type="spellEnd"/>
      <w:r w:rsidRPr="00AE1247">
        <w:rPr>
          <w:szCs w:val="22"/>
        </w:rPr>
        <w:t xml:space="preserve"> package insert in use. </w:t>
      </w:r>
    </w:p>
    <w:p w14:paraId="626CE1B5" w14:textId="77777777" w:rsidR="00F776C2" w:rsidRPr="00AE1247" w:rsidRDefault="00F776C2" w:rsidP="00F776C2">
      <w:pPr>
        <w:keepNext/>
        <w:spacing w:before="120" w:after="60"/>
        <w:ind w:left="1083"/>
        <w:outlineLvl w:val="2"/>
        <w:rPr>
          <w:szCs w:val="22"/>
        </w:rPr>
      </w:pPr>
      <w:r w:rsidRPr="00AE1247">
        <w:rPr>
          <w:szCs w:val="22"/>
        </w:rPr>
        <w:t xml:space="preserve">Repeat the procedure using the abnormal liquid QC material. </w:t>
      </w:r>
    </w:p>
    <w:p w14:paraId="061BD505" w14:textId="77777777" w:rsidR="00F776C2" w:rsidRPr="00AE1247" w:rsidRDefault="00F776C2" w:rsidP="00F776C2">
      <w:pPr>
        <w:keepNext/>
        <w:tabs>
          <w:tab w:val="num" w:pos="600"/>
        </w:tabs>
        <w:ind w:left="750"/>
        <w:jc w:val="both"/>
        <w:rPr>
          <w:rFonts w:cs="Arial"/>
          <w:sz w:val="16"/>
          <w:szCs w:val="16"/>
        </w:rPr>
      </w:pPr>
    </w:p>
    <w:p w14:paraId="74C7C262" w14:textId="77777777" w:rsidR="00F776C2" w:rsidRPr="00AE1247" w:rsidRDefault="00F776C2" w:rsidP="00F776C2">
      <w:pPr>
        <w:keepNext/>
        <w:tabs>
          <w:tab w:val="num" w:pos="600"/>
        </w:tabs>
        <w:ind w:left="750"/>
        <w:jc w:val="both"/>
        <w:rPr>
          <w:rFonts w:cs="Arial"/>
          <w:szCs w:val="22"/>
          <w:u w:val="single"/>
        </w:rPr>
      </w:pPr>
      <w:r w:rsidRPr="00AE1247">
        <w:rPr>
          <w:rFonts w:cs="Arial"/>
          <w:szCs w:val="22"/>
          <w:u w:val="single"/>
        </w:rPr>
        <w:t>Invalid Quality Control result(s)</w:t>
      </w:r>
    </w:p>
    <w:p w14:paraId="2E7911D4" w14:textId="77777777" w:rsidR="00F776C2" w:rsidRPr="00AE1247" w:rsidRDefault="00F776C2" w:rsidP="00F776C2">
      <w:pPr>
        <w:keepNext/>
        <w:tabs>
          <w:tab w:val="num" w:pos="600"/>
        </w:tabs>
        <w:ind w:left="750"/>
        <w:jc w:val="both"/>
        <w:rPr>
          <w:rFonts w:cs="Arial"/>
          <w:szCs w:val="22"/>
        </w:rPr>
      </w:pPr>
      <w:r w:rsidRPr="00AE1247">
        <w:rPr>
          <w:rFonts w:cs="Arial"/>
          <w:szCs w:val="22"/>
        </w:rPr>
        <w:t xml:space="preserve">When QC results are outside the acceptable range, verify the following immediately: </w:t>
      </w:r>
    </w:p>
    <w:p w14:paraId="75ADBEF7" w14:textId="77777777" w:rsidR="00F776C2" w:rsidRPr="00AE1247" w:rsidRDefault="00F776C2" w:rsidP="00F776C2">
      <w:pPr>
        <w:keepNext/>
        <w:numPr>
          <w:ilvl w:val="0"/>
          <w:numId w:val="47"/>
        </w:numPr>
        <w:jc w:val="both"/>
        <w:rPr>
          <w:rFonts w:cs="Arial"/>
          <w:szCs w:val="22"/>
        </w:rPr>
      </w:pPr>
      <w:r w:rsidRPr="00AE1247">
        <w:rPr>
          <w:rFonts w:cs="Arial"/>
          <w:szCs w:val="22"/>
        </w:rPr>
        <w:t xml:space="preserve">Ensure that controls and cuvettes have not expired. If expired, discard and repeat the tests with new reagents / cuvettes. </w:t>
      </w:r>
    </w:p>
    <w:p w14:paraId="2583F87A" w14:textId="77777777" w:rsidR="00F776C2" w:rsidRPr="00AE1247" w:rsidRDefault="00F776C2" w:rsidP="00F776C2">
      <w:pPr>
        <w:keepNext/>
        <w:numPr>
          <w:ilvl w:val="0"/>
          <w:numId w:val="47"/>
        </w:numPr>
        <w:jc w:val="both"/>
        <w:rPr>
          <w:rFonts w:cs="Arial"/>
          <w:szCs w:val="22"/>
        </w:rPr>
      </w:pPr>
      <w:r w:rsidRPr="00AE1247">
        <w:rPr>
          <w:rFonts w:cs="Arial"/>
          <w:szCs w:val="22"/>
        </w:rPr>
        <w:t xml:space="preserve">Ensure proper </w:t>
      </w:r>
      <w:proofErr w:type="spellStart"/>
      <w:r w:rsidRPr="00AE1247">
        <w:rPr>
          <w:rFonts w:cs="Arial"/>
          <w:szCs w:val="22"/>
        </w:rPr>
        <w:t>Hemochron</w:t>
      </w:r>
      <w:proofErr w:type="spellEnd"/>
      <w:r w:rsidRPr="00AE1247">
        <w:rPr>
          <w:rFonts w:cs="Arial"/>
          <w:szCs w:val="22"/>
        </w:rPr>
        <w:t xml:space="preserve"> temperature; perform the instrument temperature verification procedure (EQC).</w:t>
      </w:r>
    </w:p>
    <w:p w14:paraId="52E025C7" w14:textId="77777777" w:rsidR="00F776C2" w:rsidRPr="00AE1247" w:rsidRDefault="00F776C2" w:rsidP="00F776C2">
      <w:pPr>
        <w:keepNext/>
        <w:numPr>
          <w:ilvl w:val="0"/>
          <w:numId w:val="47"/>
        </w:numPr>
        <w:jc w:val="both"/>
        <w:rPr>
          <w:rFonts w:cs="Arial"/>
          <w:szCs w:val="22"/>
        </w:rPr>
      </w:pPr>
      <w:r w:rsidRPr="00AE1247">
        <w:rPr>
          <w:rFonts w:cs="Arial"/>
          <w:szCs w:val="22"/>
        </w:rPr>
        <w:t>Ensure proper technique. The timing from crushing the vial to pressing the START key is critical.</w:t>
      </w:r>
    </w:p>
    <w:p w14:paraId="7C162BBD" w14:textId="77777777" w:rsidR="00F776C2" w:rsidRPr="00AE1247" w:rsidRDefault="00F776C2" w:rsidP="00F776C2">
      <w:pPr>
        <w:keepNext/>
        <w:numPr>
          <w:ilvl w:val="0"/>
          <w:numId w:val="47"/>
        </w:numPr>
        <w:jc w:val="both"/>
        <w:rPr>
          <w:rFonts w:cs="Arial"/>
          <w:szCs w:val="22"/>
        </w:rPr>
      </w:pPr>
      <w:r w:rsidRPr="00AE1247">
        <w:rPr>
          <w:rFonts w:cs="Arial"/>
          <w:szCs w:val="22"/>
        </w:rPr>
        <w:t>Ensure adequate cuvette sample volume.</w:t>
      </w:r>
    </w:p>
    <w:p w14:paraId="7998F9CD" w14:textId="77777777" w:rsidR="00F776C2" w:rsidRPr="00AE1247" w:rsidRDefault="00F776C2" w:rsidP="00F776C2">
      <w:pPr>
        <w:keepNext/>
        <w:numPr>
          <w:ilvl w:val="0"/>
          <w:numId w:val="47"/>
        </w:numPr>
        <w:jc w:val="both"/>
        <w:rPr>
          <w:rFonts w:cs="Arial"/>
          <w:szCs w:val="22"/>
        </w:rPr>
      </w:pPr>
      <w:r w:rsidRPr="00AE1247">
        <w:rPr>
          <w:rFonts w:cs="Arial"/>
          <w:szCs w:val="22"/>
        </w:rPr>
        <w:t xml:space="preserve">Check the control material for the presence of clots. If present, repeat the procedure using freshly prepared samples of control material. </w:t>
      </w:r>
    </w:p>
    <w:p w14:paraId="7CB42F52" w14:textId="77777777" w:rsidR="00F776C2" w:rsidRPr="00AE1247" w:rsidRDefault="00F776C2" w:rsidP="00F776C2">
      <w:pPr>
        <w:keepNext/>
        <w:numPr>
          <w:ilvl w:val="0"/>
          <w:numId w:val="47"/>
        </w:numPr>
        <w:jc w:val="both"/>
        <w:rPr>
          <w:rFonts w:cs="Arial"/>
          <w:szCs w:val="22"/>
        </w:rPr>
      </w:pPr>
      <w:r w:rsidRPr="00AE1247">
        <w:rPr>
          <w:rFonts w:cs="Arial"/>
          <w:szCs w:val="22"/>
        </w:rPr>
        <w:t xml:space="preserve">If the procedure is repeated with new reagents / cuvettes and the QC results continue to be outside the acceptable range, DISCONTINUE USE OF THE INSTRUMENT AND REPORT THE FAULT - The </w:t>
      </w:r>
      <w:proofErr w:type="spellStart"/>
      <w:r w:rsidRPr="00AE1247">
        <w:rPr>
          <w:rFonts w:cs="Arial"/>
          <w:szCs w:val="22"/>
        </w:rPr>
        <w:t>Hemochron</w:t>
      </w:r>
      <w:proofErr w:type="spellEnd"/>
      <w:r w:rsidRPr="00AE1247">
        <w:rPr>
          <w:rFonts w:cs="Arial"/>
          <w:szCs w:val="22"/>
        </w:rPr>
        <w:t xml:space="preserve"> / cuvettes must NOT be used for patient testing until all control values are within the acceptable range. Document all faults and corrective actions.</w:t>
      </w:r>
    </w:p>
    <w:p w14:paraId="598AA02D" w14:textId="236440BF" w:rsidR="007F4006" w:rsidRDefault="007F4006" w:rsidP="007F4006">
      <w:pPr>
        <w:rPr>
          <w:b/>
          <w:lang w:val="en-US"/>
        </w:rPr>
      </w:pPr>
      <w:r>
        <w:rPr>
          <w:b/>
          <w:lang w:val="en-US"/>
        </w:rPr>
        <w:t>External QA</w:t>
      </w:r>
    </w:p>
    <w:p w14:paraId="362FCA05" w14:textId="31985A55" w:rsidR="007F4006" w:rsidRPr="00AA5A9A" w:rsidRDefault="007F4006" w:rsidP="007F4006">
      <w:pPr>
        <w:rPr>
          <w:lang w:val="en-US"/>
        </w:rPr>
      </w:pPr>
      <w:r>
        <w:rPr>
          <w:lang w:val="en-US"/>
        </w:rPr>
        <w:t>External Quality Assurance samples are received every 4 months from NEQAS and should be run according to the test protocol. Results should then be returned to the Point of Care team as indicated within the enclosed letter.</w:t>
      </w:r>
    </w:p>
    <w:p w14:paraId="278854C0" w14:textId="6265FC54" w:rsidR="00F776C2" w:rsidRPr="00F776C2" w:rsidRDefault="00F776C2" w:rsidP="00F776C2">
      <w:pPr>
        <w:ind w:left="432"/>
        <w:rPr>
          <w:color w:val="00B0F0"/>
          <w:lang w:val="en-US"/>
        </w:rPr>
      </w:pPr>
    </w:p>
    <w:p w14:paraId="34281C3F" w14:textId="77777777" w:rsidR="000D24AC" w:rsidRDefault="000D24AC" w:rsidP="000012D7">
      <w:pPr>
        <w:pStyle w:val="Heading1"/>
      </w:pPr>
      <w:bookmarkStart w:id="22" w:name="_Toc62677878"/>
      <w:r w:rsidRPr="008755D2">
        <w:lastRenderedPageBreak/>
        <w:t>Method</w:t>
      </w:r>
      <w:bookmarkEnd w:id="20"/>
      <w:bookmarkEnd w:id="21"/>
      <w:bookmarkEnd w:id="22"/>
    </w:p>
    <w:p w14:paraId="01D07635" w14:textId="77777777" w:rsidR="009A2D00" w:rsidRPr="00AE1247" w:rsidRDefault="009A2D00" w:rsidP="009A2D00">
      <w:pPr>
        <w:keepNext/>
        <w:spacing w:before="120" w:after="60"/>
        <w:ind w:left="1083"/>
        <w:outlineLvl w:val="2"/>
        <w:rPr>
          <w:szCs w:val="22"/>
        </w:rPr>
      </w:pPr>
      <w:r w:rsidRPr="00AE1247">
        <w:rPr>
          <w:szCs w:val="22"/>
        </w:rPr>
        <w:t>Identify the patient by asking them to confirm their name and Date of Birth.</w:t>
      </w:r>
    </w:p>
    <w:p w14:paraId="35537026" w14:textId="77777777" w:rsidR="009A2D00" w:rsidRPr="00AE1247" w:rsidRDefault="009A2D00" w:rsidP="009A2D00">
      <w:pPr>
        <w:keepNext/>
        <w:spacing w:before="120" w:after="60"/>
        <w:ind w:left="1083"/>
        <w:outlineLvl w:val="2"/>
        <w:rPr>
          <w:szCs w:val="22"/>
        </w:rPr>
      </w:pPr>
      <w:r w:rsidRPr="00AE1247">
        <w:rPr>
          <w:szCs w:val="22"/>
        </w:rPr>
        <w:t xml:space="preserve">Turn on the </w:t>
      </w:r>
      <w:proofErr w:type="spellStart"/>
      <w:r w:rsidRPr="00AE1247">
        <w:rPr>
          <w:szCs w:val="22"/>
        </w:rPr>
        <w:t>Hemochron</w:t>
      </w:r>
      <w:proofErr w:type="spellEnd"/>
      <w:r w:rsidRPr="00AE1247">
        <w:rPr>
          <w:szCs w:val="22"/>
        </w:rPr>
        <w:t xml:space="preserve"> by pressing the start button</w:t>
      </w:r>
    </w:p>
    <w:p w14:paraId="5D0231AE" w14:textId="77777777" w:rsidR="009A2D00" w:rsidRPr="00AE1247" w:rsidRDefault="009A2D00" w:rsidP="009A2D00">
      <w:pPr>
        <w:keepNext/>
        <w:spacing w:before="120" w:after="60"/>
        <w:ind w:left="1083"/>
        <w:outlineLvl w:val="2"/>
        <w:rPr>
          <w:szCs w:val="22"/>
        </w:rPr>
      </w:pPr>
      <w:r w:rsidRPr="00AE1247">
        <w:rPr>
          <w:szCs w:val="22"/>
        </w:rPr>
        <w:t xml:space="preserve">Insert the ACT-LR cuvette into the cuvette opening on the side of the </w:t>
      </w:r>
      <w:proofErr w:type="spellStart"/>
      <w:r w:rsidRPr="00AE1247">
        <w:rPr>
          <w:szCs w:val="22"/>
        </w:rPr>
        <w:t>Hemochron</w:t>
      </w:r>
      <w:proofErr w:type="spellEnd"/>
      <w:r w:rsidRPr="00AE1247">
        <w:rPr>
          <w:szCs w:val="22"/>
        </w:rPr>
        <w:t xml:space="preserve"> – check the expiry and integrity of the cuvette pouch. The </w:t>
      </w:r>
      <w:proofErr w:type="spellStart"/>
      <w:r w:rsidRPr="00AE1247">
        <w:rPr>
          <w:szCs w:val="22"/>
        </w:rPr>
        <w:t>Hemochron</w:t>
      </w:r>
      <w:proofErr w:type="spellEnd"/>
      <w:r w:rsidRPr="00AE1247">
        <w:rPr>
          <w:szCs w:val="22"/>
        </w:rPr>
        <w:t xml:space="preserve"> will identify the cuvette inserted and display the test name. The Self-Check will be initiated. </w:t>
      </w:r>
    </w:p>
    <w:p w14:paraId="3838C2D1" w14:textId="77777777" w:rsidR="009A2D00" w:rsidRPr="00AE1247" w:rsidRDefault="009A2D00" w:rsidP="009A2D00">
      <w:pPr>
        <w:keepNext/>
        <w:spacing w:before="120" w:after="60"/>
        <w:ind w:left="1083"/>
        <w:outlineLvl w:val="2"/>
        <w:rPr>
          <w:szCs w:val="22"/>
        </w:rPr>
      </w:pPr>
      <w:r w:rsidRPr="00AE1247">
        <w:rPr>
          <w:szCs w:val="22"/>
        </w:rPr>
        <w:t>Enter or scan the patient’s ID at the PID prompt</w:t>
      </w:r>
      <w:r>
        <w:rPr>
          <w:szCs w:val="22"/>
        </w:rPr>
        <w:t xml:space="preserve"> NHS Number where possible</w:t>
      </w:r>
      <w:r w:rsidRPr="00AE1247">
        <w:rPr>
          <w:szCs w:val="22"/>
        </w:rPr>
        <w:t xml:space="preserve">.  If scanned, the PID will be automatically stored. If manually entering the PID, press ENTER until stored is displayed on the screen – CHECK THE DETAILS ARE ACCURATE </w:t>
      </w:r>
    </w:p>
    <w:p w14:paraId="7496A743" w14:textId="77777777" w:rsidR="009A2D00" w:rsidRPr="00AE1247" w:rsidRDefault="009A2D00" w:rsidP="009A2D00">
      <w:pPr>
        <w:keepNext/>
        <w:spacing w:before="120" w:after="60"/>
        <w:ind w:left="1083"/>
        <w:outlineLvl w:val="2"/>
        <w:rPr>
          <w:szCs w:val="22"/>
        </w:rPr>
      </w:pPr>
      <w:r w:rsidRPr="00AE1247">
        <w:rPr>
          <w:szCs w:val="22"/>
        </w:rPr>
        <w:t xml:space="preserve">The </w:t>
      </w:r>
      <w:proofErr w:type="spellStart"/>
      <w:r w:rsidRPr="00AE1247">
        <w:rPr>
          <w:szCs w:val="22"/>
        </w:rPr>
        <w:t>Hemochron</w:t>
      </w:r>
      <w:proofErr w:type="spellEnd"/>
      <w:r w:rsidRPr="00AE1247">
        <w:rPr>
          <w:szCs w:val="22"/>
        </w:rPr>
        <w:t xml:space="preserve"> will signal when ready with an audible tone (beep) and the display will indicate “ADD SAMPLE” and “PRESS START.” The </w:t>
      </w:r>
      <w:proofErr w:type="spellStart"/>
      <w:r w:rsidRPr="00AE1247">
        <w:rPr>
          <w:szCs w:val="22"/>
        </w:rPr>
        <w:t>Hemochron</w:t>
      </w:r>
      <w:proofErr w:type="spellEnd"/>
      <w:r w:rsidRPr="00AE1247">
        <w:rPr>
          <w:szCs w:val="22"/>
        </w:rPr>
        <w:t xml:space="preserve"> will remain in the ready mode for five minutes. At the end of five minutes, a “START TIMEOUT” will occur indicating that the current cuvette must be discarded and new cuvette placed in the cuvette opening. </w:t>
      </w:r>
    </w:p>
    <w:p w14:paraId="529B9F4A" w14:textId="77777777" w:rsidR="009A2D00" w:rsidRPr="00AE1247" w:rsidRDefault="009A2D00" w:rsidP="009A2D00"/>
    <w:p w14:paraId="373AADBA" w14:textId="77777777" w:rsidR="009A2D00" w:rsidRPr="00AE1247" w:rsidRDefault="009A2D00" w:rsidP="009A2D00">
      <w:r w:rsidRPr="00AE1247">
        <w:t>Collect Sample</w:t>
      </w:r>
    </w:p>
    <w:p w14:paraId="61279C39" w14:textId="77777777" w:rsidR="009A2D00" w:rsidRPr="00AE1247" w:rsidRDefault="009A2D00" w:rsidP="009A2D00">
      <w:pPr>
        <w:numPr>
          <w:ilvl w:val="0"/>
          <w:numId w:val="48"/>
        </w:numPr>
        <w:tabs>
          <w:tab w:val="num" w:pos="375"/>
        </w:tabs>
        <w:ind w:left="375" w:hanging="15"/>
      </w:pPr>
      <w:r w:rsidRPr="00AE1247">
        <w:t>Clean the 3 way tap</w:t>
      </w:r>
    </w:p>
    <w:p w14:paraId="47A126E0" w14:textId="77777777" w:rsidR="009A2D00" w:rsidRPr="00AE1247" w:rsidRDefault="009A2D00" w:rsidP="009A2D00">
      <w:pPr>
        <w:numPr>
          <w:ilvl w:val="0"/>
          <w:numId w:val="48"/>
        </w:numPr>
        <w:tabs>
          <w:tab w:val="num" w:pos="375"/>
        </w:tabs>
        <w:ind w:left="375" w:hanging="15"/>
      </w:pPr>
      <w:r w:rsidRPr="00AE1247">
        <w:t>Draw off 5 – 10mls of blood and discard</w:t>
      </w:r>
    </w:p>
    <w:p w14:paraId="0C5D35FF" w14:textId="77777777" w:rsidR="009A2D00" w:rsidRPr="00AE1247" w:rsidRDefault="009A2D00" w:rsidP="009A2D00">
      <w:pPr>
        <w:numPr>
          <w:ilvl w:val="0"/>
          <w:numId w:val="48"/>
        </w:numPr>
        <w:tabs>
          <w:tab w:val="num" w:pos="375"/>
        </w:tabs>
        <w:ind w:left="375" w:hanging="15"/>
      </w:pPr>
      <w:r w:rsidRPr="00AE1247">
        <w:t xml:space="preserve">When the machine says “ADD SAMPLE” Immediately dispense one drop of blood into the sample well of the cuvette. Fill the sample well from the bottom up with whole blood. A sufficient quantity of blood must be added directly to the centre of the sample well to fill it flush to the top. Should a large drop of blood extend over the top of the centre sample well, creating a dome, push it over into the outer sample well. Note: When transferring blood into the sample well: </w:t>
      </w:r>
    </w:p>
    <w:p w14:paraId="6EED2A36" w14:textId="77777777" w:rsidR="009A2D00" w:rsidRPr="00AE1247" w:rsidRDefault="009A2D00" w:rsidP="009A2D00">
      <w:pPr>
        <w:numPr>
          <w:ilvl w:val="0"/>
          <w:numId w:val="48"/>
        </w:numPr>
        <w:tabs>
          <w:tab w:val="num" w:pos="375"/>
        </w:tabs>
        <w:ind w:left="375" w:hanging="15"/>
      </w:pPr>
      <w:r w:rsidRPr="00AE1247">
        <w:t>Do NOT force blood into the pin located on the centre of the sample well.</w:t>
      </w:r>
    </w:p>
    <w:p w14:paraId="1B794AC3" w14:textId="77777777" w:rsidR="009A2D00" w:rsidRPr="00AE1247" w:rsidRDefault="009A2D00" w:rsidP="009A2D00">
      <w:pPr>
        <w:numPr>
          <w:ilvl w:val="0"/>
          <w:numId w:val="48"/>
        </w:numPr>
        <w:tabs>
          <w:tab w:val="num" w:pos="375"/>
        </w:tabs>
        <w:ind w:left="375" w:hanging="15"/>
      </w:pPr>
      <w:r w:rsidRPr="00AE1247">
        <w:t xml:space="preserve">Do NOT generate air bubbles in the sample well. </w:t>
      </w:r>
    </w:p>
    <w:p w14:paraId="1735D91C" w14:textId="77777777" w:rsidR="009A2D00" w:rsidRPr="00AE1247" w:rsidRDefault="009A2D00" w:rsidP="009A2D00">
      <w:pPr>
        <w:numPr>
          <w:ilvl w:val="0"/>
          <w:numId w:val="48"/>
        </w:numPr>
        <w:tabs>
          <w:tab w:val="num" w:pos="375"/>
        </w:tabs>
        <w:ind w:left="375" w:hanging="15"/>
      </w:pPr>
      <w:r w:rsidRPr="00AE1247">
        <w:t xml:space="preserve">Press the START key on the </w:t>
      </w:r>
      <w:proofErr w:type="spellStart"/>
      <w:r w:rsidRPr="00AE1247">
        <w:t>Hemochron</w:t>
      </w:r>
      <w:proofErr w:type="spellEnd"/>
      <w:r w:rsidRPr="00AE1247">
        <w:t xml:space="preserve">. Test completion will be indicated by a single beep. The ACT-LR result is automatically converted to a reference Celite ACT result and displayed as the Celite equivalent result in seconds. </w:t>
      </w:r>
    </w:p>
    <w:p w14:paraId="07D6B87A" w14:textId="77777777" w:rsidR="009A2D00" w:rsidRPr="00AE1247" w:rsidRDefault="009A2D00" w:rsidP="009A2D00">
      <w:pPr>
        <w:numPr>
          <w:ilvl w:val="0"/>
          <w:numId w:val="48"/>
        </w:numPr>
        <w:tabs>
          <w:tab w:val="num" w:pos="375"/>
        </w:tabs>
        <w:ind w:left="375" w:hanging="15"/>
      </w:pPr>
      <w:r w:rsidRPr="00AE1247">
        <w:t xml:space="preserve">Enter a note(s) if applicable. Up to 2 operator selectable notes can be added to the patient record for each test; the note will be recorded in the final record.  A cuvette must be in the </w:t>
      </w:r>
      <w:proofErr w:type="spellStart"/>
      <w:r w:rsidRPr="00AE1247">
        <w:t>Hemochron</w:t>
      </w:r>
      <w:proofErr w:type="spellEnd"/>
      <w:r w:rsidRPr="00AE1247">
        <w:t xml:space="preserve"> to enter a note. </w:t>
      </w:r>
    </w:p>
    <w:p w14:paraId="536FE7BA" w14:textId="77777777" w:rsidR="009A2D00" w:rsidRPr="00AE1247" w:rsidRDefault="009A2D00" w:rsidP="009A2D00">
      <w:pPr>
        <w:numPr>
          <w:ilvl w:val="0"/>
          <w:numId w:val="48"/>
        </w:numPr>
        <w:tabs>
          <w:tab w:val="num" w:pos="375"/>
        </w:tabs>
        <w:ind w:left="375" w:hanging="15"/>
      </w:pPr>
      <w:r w:rsidRPr="00AE1247">
        <w:rPr>
          <w:rFonts w:cs="Arial"/>
          <w:szCs w:val="22"/>
        </w:rPr>
        <w:t xml:space="preserve">To enter a note, press the NOTE key. Type the number of the predefined note(s) or press the NOTE key repeatedly until the desired note is displayed. </w:t>
      </w:r>
    </w:p>
    <w:p w14:paraId="0719A862" w14:textId="77777777" w:rsidR="009A2D00" w:rsidRPr="00AE1247" w:rsidRDefault="009A2D00" w:rsidP="009A2D00">
      <w:pPr>
        <w:numPr>
          <w:ilvl w:val="0"/>
          <w:numId w:val="48"/>
        </w:numPr>
        <w:tabs>
          <w:tab w:val="num" w:pos="375"/>
        </w:tabs>
        <w:ind w:left="375" w:hanging="15"/>
      </w:pPr>
      <w:r w:rsidRPr="00AE1247">
        <w:rPr>
          <w:rFonts w:cs="Arial"/>
          <w:szCs w:val="22"/>
        </w:rPr>
        <w:t>Press ENTER. Press CANCEL to return to normal operation.</w:t>
      </w:r>
    </w:p>
    <w:p w14:paraId="7E5D7AF5" w14:textId="77777777" w:rsidR="009A2D00" w:rsidRPr="00AE1247" w:rsidRDefault="009A2D00" w:rsidP="009A2D00">
      <w:pPr>
        <w:numPr>
          <w:ilvl w:val="0"/>
          <w:numId w:val="48"/>
        </w:numPr>
        <w:tabs>
          <w:tab w:val="num" w:pos="375"/>
        </w:tabs>
        <w:ind w:left="375" w:hanging="15"/>
      </w:pPr>
      <w:r w:rsidRPr="00AE1247">
        <w:t xml:space="preserve">Write the result into the patient’s notes, noting the date, time and name of the person performing the test, as well as the results and their units (seconds). </w:t>
      </w:r>
    </w:p>
    <w:p w14:paraId="63431485" w14:textId="77777777" w:rsidR="009A2D00" w:rsidRDefault="009A2D00" w:rsidP="009A2D00">
      <w:pPr>
        <w:keepNext/>
        <w:numPr>
          <w:ilvl w:val="0"/>
          <w:numId w:val="48"/>
        </w:numPr>
        <w:spacing w:before="120" w:after="60"/>
        <w:jc w:val="both"/>
        <w:outlineLvl w:val="1"/>
        <w:rPr>
          <w:rFonts w:cs="Arial"/>
          <w:szCs w:val="22"/>
        </w:rPr>
      </w:pPr>
      <w:r w:rsidRPr="00AE1247">
        <w:rPr>
          <w:rFonts w:cs="Arial"/>
          <w:szCs w:val="22"/>
        </w:rPr>
        <w:lastRenderedPageBreak/>
        <w:t>Remove the test cuvette and discard appropriately.</w:t>
      </w:r>
    </w:p>
    <w:p w14:paraId="1F77148D" w14:textId="77777777" w:rsidR="009A2D00" w:rsidRPr="009A2D00" w:rsidRDefault="009A2D00" w:rsidP="009A2D00">
      <w:pPr>
        <w:keepNext/>
        <w:spacing w:before="120" w:after="60"/>
        <w:jc w:val="both"/>
        <w:outlineLvl w:val="1"/>
        <w:rPr>
          <w:rFonts w:cs="Arial"/>
          <w:szCs w:val="22"/>
          <w:lang w:val="en-US"/>
        </w:rPr>
      </w:pPr>
      <w:r w:rsidRPr="009A2D00">
        <w:rPr>
          <w:rFonts w:cs="Arial"/>
          <w:szCs w:val="22"/>
          <w:lang w:val="en-US"/>
        </w:rPr>
        <w:t>The meter should be cleaned daily</w:t>
      </w:r>
      <w:r>
        <w:rPr>
          <w:rFonts w:cs="Arial"/>
          <w:szCs w:val="22"/>
          <w:lang w:val="en-US"/>
        </w:rPr>
        <w:t xml:space="preserve"> and as required throughout the day</w:t>
      </w:r>
      <w:r w:rsidRPr="009A2D00">
        <w:rPr>
          <w:rFonts w:cs="Arial"/>
          <w:szCs w:val="22"/>
          <w:lang w:val="en-US"/>
        </w:rPr>
        <w:t xml:space="preserve"> using a </w:t>
      </w:r>
      <w:proofErr w:type="spellStart"/>
      <w:r w:rsidRPr="009A2D00">
        <w:rPr>
          <w:rFonts w:cs="Arial"/>
          <w:szCs w:val="22"/>
          <w:lang w:val="en-US"/>
        </w:rPr>
        <w:t>clinell</w:t>
      </w:r>
      <w:proofErr w:type="spellEnd"/>
      <w:r w:rsidRPr="009A2D00">
        <w:rPr>
          <w:rFonts w:cs="Arial"/>
          <w:szCs w:val="22"/>
          <w:lang w:val="en-US"/>
        </w:rPr>
        <w:t xml:space="preserve"> wipe or a cloth moistened with mild soapy water, 70% isopropyl alcohol or 0.625% sodium hypochlorite, in particular the cuvette opening. </w:t>
      </w:r>
    </w:p>
    <w:p w14:paraId="365C1DB8" w14:textId="77777777" w:rsidR="009A2D00" w:rsidRPr="00AE1247" w:rsidRDefault="009A2D00" w:rsidP="009A2D00">
      <w:pPr>
        <w:keepNext/>
        <w:spacing w:before="120" w:after="60"/>
        <w:jc w:val="both"/>
        <w:outlineLvl w:val="1"/>
        <w:rPr>
          <w:rFonts w:cs="Arial"/>
          <w:szCs w:val="22"/>
        </w:rPr>
      </w:pPr>
    </w:p>
    <w:p w14:paraId="06ECF40A" w14:textId="77777777" w:rsidR="00F776C2" w:rsidRPr="00F776C2" w:rsidRDefault="00F776C2" w:rsidP="00F776C2">
      <w:pPr>
        <w:ind w:left="432"/>
        <w:rPr>
          <w:lang w:val="en-US"/>
        </w:rPr>
      </w:pPr>
    </w:p>
    <w:p w14:paraId="4B5ACF17" w14:textId="77777777" w:rsidR="00473B50" w:rsidRDefault="00473B50" w:rsidP="000012D7">
      <w:pPr>
        <w:pStyle w:val="Heading1"/>
      </w:pPr>
      <w:bookmarkStart w:id="23" w:name="_Toc62677879"/>
      <w:r w:rsidRPr="008755D2">
        <w:t>Reporting of Results</w:t>
      </w:r>
      <w:bookmarkEnd w:id="23"/>
    </w:p>
    <w:p w14:paraId="75C78CAE" w14:textId="77777777" w:rsidR="009A2D00" w:rsidRDefault="009A2D00" w:rsidP="009A2D00">
      <w:r>
        <w:t>Expected values are dependent upon heparin dosage / procedure</w:t>
      </w:r>
    </w:p>
    <w:p w14:paraId="036CDB90" w14:textId="77777777" w:rsidR="009A2D00" w:rsidRDefault="009A2D00" w:rsidP="009A2D00">
      <w:r>
        <w:t>Unexpected results (i.e. inconsistent with the patient’s clinical state) should be repeated or confirmed with additional testing</w:t>
      </w:r>
    </w:p>
    <w:p w14:paraId="022FC99B" w14:textId="77777777" w:rsidR="009A2D00" w:rsidRPr="00FB2A50" w:rsidRDefault="009A2D00" w:rsidP="009A2D00">
      <w:r>
        <w:t xml:space="preserve">For further guidance see the </w:t>
      </w:r>
      <w:proofErr w:type="spellStart"/>
      <w:r w:rsidRPr="00FB2A50">
        <w:t>Hemochron</w:t>
      </w:r>
      <w:proofErr w:type="spellEnd"/>
      <w:r w:rsidRPr="00FB2A50">
        <w:t xml:space="preserve"> Whole Blood </w:t>
      </w:r>
      <w:proofErr w:type="spellStart"/>
      <w:r w:rsidRPr="00FB2A50">
        <w:t>Microcoagulation</w:t>
      </w:r>
      <w:proofErr w:type="spellEnd"/>
      <w:r w:rsidRPr="00FB2A50">
        <w:t xml:space="preserve"> Systems Low Range Activated Clotting Time (ACT-LR) Package Insert, International </w:t>
      </w:r>
      <w:proofErr w:type="spellStart"/>
      <w:r w:rsidRPr="00FB2A50">
        <w:t>Technidyne</w:t>
      </w:r>
      <w:proofErr w:type="spellEnd"/>
      <w:r w:rsidRPr="00FB2A50">
        <w:t xml:space="preserve"> Cor</w:t>
      </w:r>
      <w:r>
        <w:t>poration, NJ, Current Version.</w:t>
      </w:r>
    </w:p>
    <w:p w14:paraId="7E55EBD0" w14:textId="77777777" w:rsidR="009A2D00" w:rsidRPr="009A2D00" w:rsidRDefault="009A2D00" w:rsidP="009A2D00">
      <w:pPr>
        <w:rPr>
          <w:lang w:val="en-US"/>
        </w:rPr>
      </w:pPr>
    </w:p>
    <w:p w14:paraId="414486B9" w14:textId="77777777" w:rsidR="009A2D00" w:rsidRPr="00AE1247" w:rsidRDefault="009A2D00" w:rsidP="009A2D00">
      <w:pPr>
        <w:numPr>
          <w:ilvl w:val="0"/>
          <w:numId w:val="45"/>
        </w:numPr>
        <w:spacing w:before="120" w:after="60"/>
        <w:jc w:val="both"/>
        <w:rPr>
          <w:szCs w:val="22"/>
        </w:rPr>
      </w:pPr>
      <w:r w:rsidRPr="00AE1247">
        <w:rPr>
          <w:szCs w:val="22"/>
        </w:rPr>
        <w:t>All results must be documented in the patient’s notes</w:t>
      </w:r>
    </w:p>
    <w:p w14:paraId="7CF130DC" w14:textId="77777777" w:rsidR="009A2D00" w:rsidRPr="00AE1247" w:rsidRDefault="009A2D00" w:rsidP="009A2D00">
      <w:pPr>
        <w:numPr>
          <w:ilvl w:val="0"/>
          <w:numId w:val="45"/>
        </w:numPr>
        <w:spacing w:before="120" w:after="60"/>
        <w:jc w:val="both"/>
        <w:rPr>
          <w:szCs w:val="22"/>
        </w:rPr>
      </w:pPr>
      <w:r w:rsidRPr="00AE1247">
        <w:rPr>
          <w:szCs w:val="22"/>
        </w:rPr>
        <w:t>A result that exceeds “400 seconds” and reads “out of range Hi” is reported as “greater than 400" if the result is expected.</w:t>
      </w:r>
    </w:p>
    <w:p w14:paraId="4BEC56F7" w14:textId="77777777" w:rsidR="009A2D00" w:rsidRPr="00AE1247" w:rsidRDefault="009A2D00" w:rsidP="009A2D00">
      <w:pPr>
        <w:numPr>
          <w:ilvl w:val="0"/>
          <w:numId w:val="45"/>
        </w:numPr>
        <w:spacing w:before="120" w:after="60"/>
        <w:jc w:val="both"/>
        <w:rPr>
          <w:szCs w:val="22"/>
        </w:rPr>
      </w:pPr>
      <w:r w:rsidRPr="00AE1247">
        <w:rPr>
          <w:szCs w:val="22"/>
        </w:rPr>
        <w:t>If any result is inconsistent with patient therapy, repeat the test.</w:t>
      </w:r>
    </w:p>
    <w:p w14:paraId="44D12310" w14:textId="77777777" w:rsidR="009A2D00" w:rsidRPr="00AE1247" w:rsidRDefault="009A2D00" w:rsidP="009A2D00">
      <w:pPr>
        <w:numPr>
          <w:ilvl w:val="0"/>
          <w:numId w:val="45"/>
        </w:numPr>
        <w:spacing w:before="120" w:after="60"/>
        <w:jc w:val="both"/>
        <w:rPr>
          <w:szCs w:val="22"/>
        </w:rPr>
      </w:pPr>
      <w:r w:rsidRPr="00AE1247">
        <w:rPr>
          <w:szCs w:val="22"/>
        </w:rPr>
        <w:t xml:space="preserve">If the result is “out of range Lo”, repeat the test with a new sample and new cuvette. </w:t>
      </w:r>
    </w:p>
    <w:p w14:paraId="263AF4C8" w14:textId="77777777" w:rsidR="009A2D00" w:rsidRDefault="009A2D00" w:rsidP="009A2D00">
      <w:pPr>
        <w:spacing w:before="120" w:after="60"/>
        <w:ind w:left="720"/>
        <w:jc w:val="both"/>
        <w:rPr>
          <w:i/>
          <w:color w:val="00B0F0"/>
          <w:szCs w:val="22"/>
        </w:rPr>
      </w:pPr>
      <w:r w:rsidRPr="009A2D00">
        <w:rPr>
          <w:i/>
          <w:color w:val="00B0F0"/>
          <w:szCs w:val="22"/>
        </w:rPr>
        <w:t xml:space="preserve">All results should be down loaded onto the data management system located </w:t>
      </w:r>
      <w:proofErr w:type="gramStart"/>
      <w:r w:rsidRPr="009A2D00">
        <w:rPr>
          <w:i/>
          <w:color w:val="00B0F0"/>
          <w:szCs w:val="22"/>
        </w:rPr>
        <w:t>on  PC</w:t>
      </w:r>
      <w:proofErr w:type="gramEnd"/>
      <w:r w:rsidRPr="009A2D00">
        <w:rPr>
          <w:i/>
          <w:color w:val="00B0F0"/>
          <w:szCs w:val="22"/>
        </w:rPr>
        <w:t xml:space="preserve"> W3221 in the Point of Care Testing office.</w:t>
      </w:r>
    </w:p>
    <w:p w14:paraId="3ECD5993" w14:textId="77777777" w:rsidR="009A2D00" w:rsidRPr="009A2D00" w:rsidRDefault="009A2D00" w:rsidP="009A2D00">
      <w:pPr>
        <w:spacing w:before="120" w:after="60"/>
        <w:ind w:left="720"/>
        <w:jc w:val="both"/>
        <w:rPr>
          <w:color w:val="00B0F0"/>
          <w:szCs w:val="22"/>
        </w:rPr>
      </w:pPr>
    </w:p>
    <w:p w14:paraId="3A5FD5D0" w14:textId="77777777" w:rsidR="000D24AC" w:rsidRPr="00F65DE6" w:rsidRDefault="000D24AC" w:rsidP="000012D7">
      <w:pPr>
        <w:pStyle w:val="Heading1"/>
      </w:pPr>
      <w:bookmarkStart w:id="24" w:name="_Toc213598307"/>
      <w:bookmarkStart w:id="25" w:name="_Toc213598533"/>
      <w:bookmarkStart w:id="26" w:name="_Toc62677881"/>
      <w:r w:rsidRPr="00F65DE6">
        <w:t>Assay Performance</w:t>
      </w:r>
      <w:bookmarkEnd w:id="24"/>
      <w:bookmarkEnd w:id="25"/>
      <w:r w:rsidR="00992C1D">
        <w:t xml:space="preserve"> &amp; Known Limitations</w:t>
      </w:r>
      <w:bookmarkEnd w:id="26"/>
    </w:p>
    <w:p w14:paraId="099A691A" w14:textId="77777777" w:rsidR="009A2D00" w:rsidRPr="00FB2A50" w:rsidRDefault="009A2D00" w:rsidP="009A2D00">
      <w:r w:rsidRPr="00FB2A50">
        <w:t xml:space="preserve">The </w:t>
      </w:r>
      <w:proofErr w:type="spellStart"/>
      <w:r w:rsidRPr="00FB2A50">
        <w:t>Hemochron</w:t>
      </w:r>
      <w:proofErr w:type="spellEnd"/>
      <w:r w:rsidRPr="00FB2A50">
        <w:t xml:space="preserve"> Signature Elite® test results are affected by poor technique during blood collection and the transfer of blood to the sample well. The quality of the blood specimen may be affected by: </w:t>
      </w:r>
    </w:p>
    <w:p w14:paraId="03BECA70" w14:textId="77777777" w:rsidR="009A2D00" w:rsidRPr="00FB2A50" w:rsidRDefault="009A2D00" w:rsidP="009A2D00">
      <w:r w:rsidRPr="00FB2A50">
        <w:t>Contamination e.g. heparin line, diluted sample</w:t>
      </w:r>
    </w:p>
    <w:p w14:paraId="4968E2CF" w14:textId="77777777" w:rsidR="009A2D00" w:rsidRPr="00FB2A50" w:rsidRDefault="009A2D00" w:rsidP="009A2D00">
      <w:r w:rsidRPr="00FB2A50">
        <w:t xml:space="preserve">Foaming of the sample (air bubbles) </w:t>
      </w:r>
    </w:p>
    <w:p w14:paraId="57D1FAE9" w14:textId="77777777" w:rsidR="009A2D00" w:rsidRPr="00FB2A50" w:rsidRDefault="009A2D00" w:rsidP="009A2D00">
      <w:r w:rsidRPr="00FB2A50">
        <w:t xml:space="preserve">Haemolysis </w:t>
      </w:r>
    </w:p>
    <w:p w14:paraId="2D93A313" w14:textId="77777777" w:rsidR="009A2D00" w:rsidRPr="00FB2A50" w:rsidRDefault="009A2D00" w:rsidP="009A2D00">
      <w:r w:rsidRPr="00FB2A50">
        <w:t xml:space="preserve">Clotted or partially clotted blood </w:t>
      </w:r>
    </w:p>
    <w:p w14:paraId="13E3CEFF" w14:textId="77777777" w:rsidR="009A2D00" w:rsidRPr="00FB2A50" w:rsidRDefault="009A2D00" w:rsidP="009A2D00">
      <w:r w:rsidRPr="00FB2A50">
        <w:t xml:space="preserve">Unsuspected anticoagulation </w:t>
      </w:r>
    </w:p>
    <w:p w14:paraId="2588BDDE" w14:textId="77777777" w:rsidR="009A2D00" w:rsidRPr="00FB2A50" w:rsidRDefault="009A2D00" w:rsidP="009A2D00">
      <w:r w:rsidRPr="00FB2A50">
        <w:t xml:space="preserve">Presence of a lupus anticoagulant </w:t>
      </w:r>
    </w:p>
    <w:p w14:paraId="09E8AE17" w14:textId="77777777" w:rsidR="009A2D00" w:rsidRDefault="009A2D00" w:rsidP="009A2D00">
      <w:r w:rsidRPr="00FB2A50">
        <w:t xml:space="preserve">The </w:t>
      </w:r>
      <w:proofErr w:type="spellStart"/>
      <w:r w:rsidRPr="00FB2A50">
        <w:t>Hemochron</w:t>
      </w:r>
      <w:proofErr w:type="spellEnd"/>
      <w:r w:rsidRPr="00FB2A50">
        <w:t xml:space="preserve"> ACT-LR test uses Celite as the activator which is known to be artificially prolonged by aprotinin, a protease inhibitor. The ACT-LR is not intended for use with patients receiving aprotinin. </w:t>
      </w:r>
    </w:p>
    <w:p w14:paraId="3E6B63ED" w14:textId="77777777" w:rsidR="009A2D00" w:rsidRPr="00FB2A50" w:rsidRDefault="009A2D00" w:rsidP="009A2D00">
      <w:r w:rsidRPr="00FB2A50">
        <w:t xml:space="preserve">Samples with a haematocrit less than 20% or greater than 55% are not recommended for testing; the optical density is outside the level of detection of the </w:t>
      </w:r>
      <w:proofErr w:type="spellStart"/>
      <w:r w:rsidRPr="00FB2A50">
        <w:t>Hemochron</w:t>
      </w:r>
      <w:proofErr w:type="spellEnd"/>
      <w:r w:rsidRPr="00FB2A50">
        <w:t xml:space="preserve"> Signature Elite®. Where haematocrit may be out of this range, refer a FBC to the laboratory to confirm.</w:t>
      </w:r>
    </w:p>
    <w:p w14:paraId="38E53E16" w14:textId="77777777" w:rsidR="009A2D00" w:rsidRDefault="009A2D00" w:rsidP="009A2D00">
      <w:r w:rsidRPr="00FB2A50">
        <w:lastRenderedPageBreak/>
        <w:t xml:space="preserve">As with all diagnostic tests, the </w:t>
      </w:r>
      <w:proofErr w:type="spellStart"/>
      <w:r w:rsidRPr="00FB2A50">
        <w:t>Hemochron</w:t>
      </w:r>
      <w:proofErr w:type="spellEnd"/>
      <w:r w:rsidRPr="00FB2A50">
        <w:t xml:space="preserve"> Signature Elite® test results should be scrutinized in light of a specific patient’s condition and anticoagulant therapy. Any results exhibiting inconsistency with the patient’s clinical status should be repeated or supplemented with additional test data. </w:t>
      </w:r>
    </w:p>
    <w:p w14:paraId="4D8B944E" w14:textId="77777777" w:rsidR="009A2D00" w:rsidRPr="00FB2A50" w:rsidRDefault="009A2D00" w:rsidP="009A2D00">
      <w:r>
        <w:t xml:space="preserve">Quoted precision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2413"/>
        <w:gridCol w:w="2320"/>
        <w:gridCol w:w="2303"/>
      </w:tblGrid>
      <w:tr w:rsidR="009A2D00" w14:paraId="3A7BAE56" w14:textId="77777777" w:rsidTr="005567C9">
        <w:tc>
          <w:tcPr>
            <w:tcW w:w="2645" w:type="dxa"/>
            <w:shd w:val="clear" w:color="auto" w:fill="auto"/>
          </w:tcPr>
          <w:p w14:paraId="7EC544A8" w14:textId="77777777" w:rsidR="009A2D00" w:rsidRDefault="009A2D00" w:rsidP="005567C9">
            <w:r>
              <w:t>Within Day</w:t>
            </w:r>
          </w:p>
        </w:tc>
        <w:tc>
          <w:tcPr>
            <w:tcW w:w="2473" w:type="dxa"/>
            <w:shd w:val="clear" w:color="auto" w:fill="auto"/>
          </w:tcPr>
          <w:p w14:paraId="70E7D671" w14:textId="77777777" w:rsidR="009A2D00" w:rsidRDefault="009A2D00" w:rsidP="005567C9">
            <w:r>
              <w:t>Mean (sec)</w:t>
            </w:r>
          </w:p>
        </w:tc>
        <w:tc>
          <w:tcPr>
            <w:tcW w:w="2368" w:type="dxa"/>
            <w:shd w:val="clear" w:color="auto" w:fill="auto"/>
          </w:tcPr>
          <w:p w14:paraId="091A9F2C" w14:textId="77777777" w:rsidR="009A2D00" w:rsidRDefault="009A2D00" w:rsidP="005567C9">
            <w:r>
              <w:t>SD(sec)</w:t>
            </w:r>
          </w:p>
        </w:tc>
        <w:tc>
          <w:tcPr>
            <w:tcW w:w="2368" w:type="dxa"/>
            <w:shd w:val="clear" w:color="auto" w:fill="auto"/>
          </w:tcPr>
          <w:p w14:paraId="5D5900AC" w14:textId="77777777" w:rsidR="009A2D00" w:rsidRDefault="009A2D00" w:rsidP="005567C9">
            <w:r>
              <w:t>CV %</w:t>
            </w:r>
          </w:p>
        </w:tc>
      </w:tr>
      <w:tr w:rsidR="009A2D00" w14:paraId="39A9355A" w14:textId="77777777" w:rsidTr="005567C9">
        <w:tc>
          <w:tcPr>
            <w:tcW w:w="2645" w:type="dxa"/>
            <w:shd w:val="clear" w:color="auto" w:fill="auto"/>
          </w:tcPr>
          <w:p w14:paraId="35DBE9A4" w14:textId="77777777" w:rsidR="009A2D00" w:rsidRDefault="009A2D00" w:rsidP="005567C9">
            <w:r>
              <w:t>Normal</w:t>
            </w:r>
          </w:p>
        </w:tc>
        <w:tc>
          <w:tcPr>
            <w:tcW w:w="2473" w:type="dxa"/>
            <w:shd w:val="clear" w:color="auto" w:fill="auto"/>
          </w:tcPr>
          <w:p w14:paraId="509F0E98" w14:textId="77777777" w:rsidR="009A2D00" w:rsidRDefault="009A2D00" w:rsidP="005567C9">
            <w:r>
              <w:t>208</w:t>
            </w:r>
          </w:p>
        </w:tc>
        <w:tc>
          <w:tcPr>
            <w:tcW w:w="2368" w:type="dxa"/>
            <w:shd w:val="clear" w:color="auto" w:fill="auto"/>
          </w:tcPr>
          <w:p w14:paraId="00FFCB25" w14:textId="77777777" w:rsidR="009A2D00" w:rsidRDefault="009A2D00" w:rsidP="005567C9">
            <w:r>
              <w:t>14</w:t>
            </w:r>
          </w:p>
        </w:tc>
        <w:tc>
          <w:tcPr>
            <w:tcW w:w="2368" w:type="dxa"/>
            <w:shd w:val="clear" w:color="auto" w:fill="auto"/>
          </w:tcPr>
          <w:p w14:paraId="7020E976" w14:textId="77777777" w:rsidR="009A2D00" w:rsidRDefault="009A2D00" w:rsidP="005567C9">
            <w:r>
              <w:t>6.7</w:t>
            </w:r>
          </w:p>
        </w:tc>
      </w:tr>
      <w:tr w:rsidR="009A2D00" w14:paraId="5EB34039" w14:textId="77777777" w:rsidTr="005567C9">
        <w:tc>
          <w:tcPr>
            <w:tcW w:w="2645" w:type="dxa"/>
            <w:shd w:val="clear" w:color="auto" w:fill="auto"/>
          </w:tcPr>
          <w:p w14:paraId="2B7088DA" w14:textId="77777777" w:rsidR="009A2D00" w:rsidRDefault="009A2D00" w:rsidP="005567C9">
            <w:r>
              <w:t>Abnormal</w:t>
            </w:r>
          </w:p>
        </w:tc>
        <w:tc>
          <w:tcPr>
            <w:tcW w:w="2473" w:type="dxa"/>
            <w:shd w:val="clear" w:color="auto" w:fill="auto"/>
          </w:tcPr>
          <w:p w14:paraId="173ECDCB" w14:textId="77777777" w:rsidR="009A2D00" w:rsidRDefault="009A2D00" w:rsidP="005567C9">
            <w:r>
              <w:t>299</w:t>
            </w:r>
          </w:p>
        </w:tc>
        <w:tc>
          <w:tcPr>
            <w:tcW w:w="2368" w:type="dxa"/>
            <w:shd w:val="clear" w:color="auto" w:fill="auto"/>
          </w:tcPr>
          <w:p w14:paraId="5F6999DE" w14:textId="77777777" w:rsidR="009A2D00" w:rsidRDefault="009A2D00" w:rsidP="005567C9">
            <w:r>
              <w:t>11</w:t>
            </w:r>
          </w:p>
        </w:tc>
        <w:tc>
          <w:tcPr>
            <w:tcW w:w="2368" w:type="dxa"/>
            <w:shd w:val="clear" w:color="auto" w:fill="auto"/>
          </w:tcPr>
          <w:p w14:paraId="7140D188" w14:textId="77777777" w:rsidR="009A2D00" w:rsidRDefault="009A2D00" w:rsidP="005567C9">
            <w:r>
              <w:t>3.8</w:t>
            </w:r>
          </w:p>
        </w:tc>
      </w:tr>
    </w:tbl>
    <w:p w14:paraId="1DB3A140" w14:textId="77777777" w:rsidR="009A2D00" w:rsidRPr="00FB2A50" w:rsidRDefault="009A2D00" w:rsidP="009A2D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1476"/>
        <w:gridCol w:w="1402"/>
        <w:gridCol w:w="1369"/>
        <w:gridCol w:w="1337"/>
        <w:gridCol w:w="1312"/>
        <w:gridCol w:w="1306"/>
      </w:tblGrid>
      <w:tr w:rsidR="009A2D00" w:rsidRPr="00514456" w14:paraId="041CB54D" w14:textId="77777777" w:rsidTr="005567C9">
        <w:tc>
          <w:tcPr>
            <w:tcW w:w="1460" w:type="dxa"/>
            <w:shd w:val="clear" w:color="auto" w:fill="auto"/>
          </w:tcPr>
          <w:p w14:paraId="0F3DE63A" w14:textId="77777777" w:rsidR="009A2D00" w:rsidRPr="00514456" w:rsidRDefault="009A2D00" w:rsidP="005567C9">
            <w:pPr>
              <w:rPr>
                <w:rFonts w:cs="Arial"/>
                <w:szCs w:val="22"/>
              </w:rPr>
            </w:pPr>
            <w:r w:rsidRPr="00514456">
              <w:rPr>
                <w:rFonts w:cs="Arial"/>
                <w:szCs w:val="22"/>
                <w:lang w:val="en-US"/>
              </w:rPr>
              <w:t>Day to Day</w:t>
            </w:r>
          </w:p>
        </w:tc>
        <w:tc>
          <w:tcPr>
            <w:tcW w:w="1504" w:type="dxa"/>
            <w:shd w:val="clear" w:color="auto" w:fill="auto"/>
          </w:tcPr>
          <w:p w14:paraId="54B5E79B" w14:textId="77777777" w:rsidR="009A2D00" w:rsidRPr="00514456" w:rsidRDefault="009A2D00" w:rsidP="005567C9">
            <w:pPr>
              <w:rPr>
                <w:rFonts w:cs="Arial"/>
                <w:szCs w:val="22"/>
                <w:lang w:val="en-US"/>
              </w:rPr>
            </w:pPr>
            <w:r w:rsidRPr="00514456">
              <w:rPr>
                <w:rFonts w:cs="Arial"/>
                <w:szCs w:val="22"/>
                <w:lang w:val="en-US"/>
              </w:rPr>
              <w:t>Normal</w:t>
            </w:r>
          </w:p>
        </w:tc>
        <w:tc>
          <w:tcPr>
            <w:tcW w:w="1440" w:type="dxa"/>
            <w:shd w:val="clear" w:color="auto" w:fill="auto"/>
          </w:tcPr>
          <w:p w14:paraId="61830969" w14:textId="77777777" w:rsidR="009A2D00" w:rsidRPr="00514456" w:rsidRDefault="009A2D00" w:rsidP="005567C9">
            <w:pPr>
              <w:rPr>
                <w:rFonts w:cs="Arial"/>
                <w:szCs w:val="22"/>
                <w:lang w:val="en-US"/>
              </w:rPr>
            </w:pPr>
          </w:p>
        </w:tc>
        <w:tc>
          <w:tcPr>
            <w:tcW w:w="1412" w:type="dxa"/>
            <w:shd w:val="clear" w:color="auto" w:fill="auto"/>
          </w:tcPr>
          <w:p w14:paraId="7B0CF4C1" w14:textId="77777777" w:rsidR="009A2D00" w:rsidRPr="00514456" w:rsidRDefault="009A2D00" w:rsidP="005567C9">
            <w:pPr>
              <w:rPr>
                <w:rFonts w:cs="Arial"/>
                <w:szCs w:val="22"/>
                <w:lang w:val="en-US"/>
              </w:rPr>
            </w:pPr>
          </w:p>
        </w:tc>
        <w:tc>
          <w:tcPr>
            <w:tcW w:w="1346" w:type="dxa"/>
            <w:shd w:val="clear" w:color="auto" w:fill="auto"/>
          </w:tcPr>
          <w:p w14:paraId="3B169ABB" w14:textId="77777777" w:rsidR="009A2D00" w:rsidRPr="00514456" w:rsidRDefault="009A2D00" w:rsidP="005567C9">
            <w:pPr>
              <w:rPr>
                <w:rFonts w:cs="Arial"/>
                <w:szCs w:val="22"/>
                <w:lang w:val="en-US"/>
              </w:rPr>
            </w:pPr>
            <w:r w:rsidRPr="00514456">
              <w:rPr>
                <w:rFonts w:cs="Arial"/>
                <w:szCs w:val="22"/>
                <w:lang w:val="en-US"/>
              </w:rPr>
              <w:t>Abnormal</w:t>
            </w:r>
          </w:p>
        </w:tc>
        <w:tc>
          <w:tcPr>
            <w:tcW w:w="1346" w:type="dxa"/>
            <w:shd w:val="clear" w:color="auto" w:fill="auto"/>
          </w:tcPr>
          <w:p w14:paraId="6D3AD345" w14:textId="77777777" w:rsidR="009A2D00" w:rsidRPr="00514456" w:rsidRDefault="009A2D00" w:rsidP="005567C9">
            <w:pPr>
              <w:rPr>
                <w:rFonts w:cs="Arial"/>
                <w:szCs w:val="22"/>
                <w:lang w:val="en-US"/>
              </w:rPr>
            </w:pPr>
          </w:p>
        </w:tc>
        <w:tc>
          <w:tcPr>
            <w:tcW w:w="1346" w:type="dxa"/>
            <w:shd w:val="clear" w:color="auto" w:fill="auto"/>
          </w:tcPr>
          <w:p w14:paraId="04C7E805" w14:textId="77777777" w:rsidR="009A2D00" w:rsidRPr="00514456" w:rsidRDefault="009A2D00" w:rsidP="005567C9">
            <w:pPr>
              <w:rPr>
                <w:rFonts w:cs="Arial"/>
                <w:szCs w:val="22"/>
                <w:lang w:val="en-US"/>
              </w:rPr>
            </w:pPr>
          </w:p>
        </w:tc>
      </w:tr>
      <w:tr w:rsidR="009A2D00" w:rsidRPr="00514456" w14:paraId="5731E6A3" w14:textId="77777777" w:rsidTr="005567C9">
        <w:tc>
          <w:tcPr>
            <w:tcW w:w="1460" w:type="dxa"/>
            <w:shd w:val="clear" w:color="auto" w:fill="auto"/>
          </w:tcPr>
          <w:p w14:paraId="5C640843" w14:textId="77777777" w:rsidR="009A2D00" w:rsidRPr="00514456" w:rsidRDefault="009A2D00" w:rsidP="005567C9">
            <w:pPr>
              <w:rPr>
                <w:rFonts w:cs="Arial"/>
                <w:szCs w:val="22"/>
                <w:lang w:val="en-US"/>
              </w:rPr>
            </w:pPr>
          </w:p>
        </w:tc>
        <w:tc>
          <w:tcPr>
            <w:tcW w:w="1504" w:type="dxa"/>
            <w:shd w:val="clear" w:color="auto" w:fill="auto"/>
          </w:tcPr>
          <w:p w14:paraId="049DE283" w14:textId="77777777" w:rsidR="009A2D00" w:rsidRPr="00514456" w:rsidRDefault="009A2D00" w:rsidP="005567C9">
            <w:pPr>
              <w:rPr>
                <w:rFonts w:cs="Arial"/>
                <w:szCs w:val="22"/>
                <w:lang w:val="en-US"/>
              </w:rPr>
            </w:pPr>
            <w:r w:rsidRPr="00514456">
              <w:rPr>
                <w:rFonts w:cs="Arial"/>
                <w:szCs w:val="22"/>
                <w:lang w:val="en-US"/>
              </w:rPr>
              <w:t>Mean</w:t>
            </w:r>
          </w:p>
        </w:tc>
        <w:tc>
          <w:tcPr>
            <w:tcW w:w="1440" w:type="dxa"/>
            <w:shd w:val="clear" w:color="auto" w:fill="auto"/>
          </w:tcPr>
          <w:p w14:paraId="38076BD8" w14:textId="77777777" w:rsidR="009A2D00" w:rsidRPr="00514456" w:rsidRDefault="009A2D00" w:rsidP="005567C9">
            <w:pPr>
              <w:rPr>
                <w:rFonts w:cs="Arial"/>
                <w:szCs w:val="22"/>
                <w:lang w:val="en-US"/>
              </w:rPr>
            </w:pPr>
            <w:r w:rsidRPr="00514456">
              <w:rPr>
                <w:rFonts w:cs="Arial"/>
                <w:szCs w:val="22"/>
                <w:lang w:val="en-US"/>
              </w:rPr>
              <w:t>SD</w:t>
            </w:r>
          </w:p>
        </w:tc>
        <w:tc>
          <w:tcPr>
            <w:tcW w:w="1412" w:type="dxa"/>
            <w:shd w:val="clear" w:color="auto" w:fill="auto"/>
          </w:tcPr>
          <w:p w14:paraId="0FC11669" w14:textId="77777777" w:rsidR="009A2D00" w:rsidRPr="00514456" w:rsidRDefault="009A2D00" w:rsidP="005567C9">
            <w:pPr>
              <w:rPr>
                <w:rFonts w:cs="Arial"/>
                <w:szCs w:val="22"/>
                <w:lang w:val="en-US"/>
              </w:rPr>
            </w:pPr>
            <w:r w:rsidRPr="00514456">
              <w:rPr>
                <w:rFonts w:cs="Arial"/>
                <w:szCs w:val="22"/>
                <w:lang w:val="en-US"/>
              </w:rPr>
              <w:t>CV</w:t>
            </w:r>
          </w:p>
        </w:tc>
        <w:tc>
          <w:tcPr>
            <w:tcW w:w="1346" w:type="dxa"/>
            <w:shd w:val="clear" w:color="auto" w:fill="auto"/>
          </w:tcPr>
          <w:p w14:paraId="7D8584EB" w14:textId="77777777" w:rsidR="009A2D00" w:rsidRPr="00514456" w:rsidRDefault="009A2D00" w:rsidP="005567C9">
            <w:pPr>
              <w:rPr>
                <w:rFonts w:cs="Arial"/>
                <w:szCs w:val="22"/>
                <w:lang w:val="en-US"/>
              </w:rPr>
            </w:pPr>
            <w:r w:rsidRPr="00514456">
              <w:rPr>
                <w:rFonts w:cs="Arial"/>
                <w:szCs w:val="22"/>
                <w:lang w:val="en-US"/>
              </w:rPr>
              <w:t>Mean</w:t>
            </w:r>
          </w:p>
        </w:tc>
        <w:tc>
          <w:tcPr>
            <w:tcW w:w="1346" w:type="dxa"/>
            <w:shd w:val="clear" w:color="auto" w:fill="auto"/>
          </w:tcPr>
          <w:p w14:paraId="06493638" w14:textId="77777777" w:rsidR="009A2D00" w:rsidRPr="00514456" w:rsidRDefault="009A2D00" w:rsidP="005567C9">
            <w:pPr>
              <w:rPr>
                <w:rFonts w:cs="Arial"/>
                <w:szCs w:val="22"/>
                <w:lang w:val="en-US"/>
              </w:rPr>
            </w:pPr>
            <w:r w:rsidRPr="00514456">
              <w:rPr>
                <w:rFonts w:cs="Arial"/>
                <w:szCs w:val="22"/>
                <w:lang w:val="en-US"/>
              </w:rPr>
              <w:t>SD</w:t>
            </w:r>
          </w:p>
        </w:tc>
        <w:tc>
          <w:tcPr>
            <w:tcW w:w="1346" w:type="dxa"/>
            <w:shd w:val="clear" w:color="auto" w:fill="auto"/>
          </w:tcPr>
          <w:p w14:paraId="41B1A5C9" w14:textId="77777777" w:rsidR="009A2D00" w:rsidRPr="00514456" w:rsidRDefault="009A2D00" w:rsidP="005567C9">
            <w:pPr>
              <w:rPr>
                <w:rFonts w:cs="Arial"/>
                <w:szCs w:val="22"/>
                <w:lang w:val="en-US"/>
              </w:rPr>
            </w:pPr>
            <w:r w:rsidRPr="00514456">
              <w:rPr>
                <w:rFonts w:cs="Arial"/>
                <w:szCs w:val="22"/>
                <w:lang w:val="en-US"/>
              </w:rPr>
              <w:t>CV</w:t>
            </w:r>
          </w:p>
        </w:tc>
      </w:tr>
      <w:tr w:rsidR="009A2D00" w:rsidRPr="00514456" w14:paraId="3BA1DE7A" w14:textId="77777777" w:rsidTr="005567C9">
        <w:tc>
          <w:tcPr>
            <w:tcW w:w="1460" w:type="dxa"/>
            <w:shd w:val="clear" w:color="auto" w:fill="auto"/>
          </w:tcPr>
          <w:p w14:paraId="3069D428" w14:textId="77777777" w:rsidR="009A2D00" w:rsidRPr="00514456" w:rsidRDefault="009A2D00" w:rsidP="005567C9">
            <w:pPr>
              <w:rPr>
                <w:rFonts w:cs="Arial"/>
                <w:szCs w:val="22"/>
                <w:lang w:val="en-US"/>
              </w:rPr>
            </w:pPr>
            <w:r w:rsidRPr="00514456">
              <w:rPr>
                <w:rFonts w:cs="Arial"/>
                <w:szCs w:val="22"/>
                <w:lang w:val="en-US"/>
              </w:rPr>
              <w:t>Day 1</w:t>
            </w:r>
          </w:p>
        </w:tc>
        <w:tc>
          <w:tcPr>
            <w:tcW w:w="1504" w:type="dxa"/>
            <w:shd w:val="clear" w:color="auto" w:fill="auto"/>
          </w:tcPr>
          <w:p w14:paraId="66FCCD4F" w14:textId="77777777" w:rsidR="009A2D00" w:rsidRPr="00514456" w:rsidRDefault="009A2D00" w:rsidP="005567C9">
            <w:pPr>
              <w:rPr>
                <w:rFonts w:cs="Arial"/>
                <w:szCs w:val="22"/>
                <w:lang w:val="en-US"/>
              </w:rPr>
            </w:pPr>
            <w:r w:rsidRPr="00514456">
              <w:rPr>
                <w:rFonts w:cs="Arial"/>
                <w:szCs w:val="22"/>
                <w:lang w:val="en-US"/>
              </w:rPr>
              <w:t>202</w:t>
            </w:r>
          </w:p>
        </w:tc>
        <w:tc>
          <w:tcPr>
            <w:tcW w:w="1440" w:type="dxa"/>
            <w:shd w:val="clear" w:color="auto" w:fill="auto"/>
          </w:tcPr>
          <w:p w14:paraId="0B5D342E" w14:textId="77777777" w:rsidR="009A2D00" w:rsidRPr="00514456" w:rsidRDefault="009A2D00" w:rsidP="005567C9">
            <w:pPr>
              <w:rPr>
                <w:rFonts w:cs="Arial"/>
                <w:szCs w:val="22"/>
                <w:lang w:val="en-US"/>
              </w:rPr>
            </w:pPr>
            <w:r w:rsidRPr="00514456">
              <w:rPr>
                <w:rFonts w:cs="Arial"/>
                <w:szCs w:val="22"/>
                <w:lang w:val="en-US"/>
              </w:rPr>
              <w:t>7.9</w:t>
            </w:r>
          </w:p>
        </w:tc>
        <w:tc>
          <w:tcPr>
            <w:tcW w:w="1412" w:type="dxa"/>
            <w:shd w:val="clear" w:color="auto" w:fill="auto"/>
          </w:tcPr>
          <w:p w14:paraId="11A79272" w14:textId="77777777" w:rsidR="009A2D00" w:rsidRPr="00514456" w:rsidRDefault="009A2D00" w:rsidP="005567C9">
            <w:pPr>
              <w:rPr>
                <w:rFonts w:cs="Arial"/>
                <w:szCs w:val="22"/>
                <w:lang w:val="en-US"/>
              </w:rPr>
            </w:pPr>
            <w:r w:rsidRPr="00514456">
              <w:rPr>
                <w:rFonts w:cs="Arial"/>
                <w:szCs w:val="22"/>
                <w:lang w:val="en-US"/>
              </w:rPr>
              <w:t>3.9</w:t>
            </w:r>
          </w:p>
        </w:tc>
        <w:tc>
          <w:tcPr>
            <w:tcW w:w="1346" w:type="dxa"/>
            <w:shd w:val="clear" w:color="auto" w:fill="auto"/>
          </w:tcPr>
          <w:p w14:paraId="64A9C8B3" w14:textId="77777777" w:rsidR="009A2D00" w:rsidRPr="00514456" w:rsidRDefault="009A2D00" w:rsidP="005567C9">
            <w:pPr>
              <w:rPr>
                <w:rFonts w:cs="Arial"/>
                <w:szCs w:val="22"/>
                <w:lang w:val="en-US"/>
              </w:rPr>
            </w:pPr>
            <w:r w:rsidRPr="00514456">
              <w:rPr>
                <w:rFonts w:cs="Arial"/>
                <w:szCs w:val="22"/>
                <w:lang w:val="en-US"/>
              </w:rPr>
              <w:t>292</w:t>
            </w:r>
          </w:p>
        </w:tc>
        <w:tc>
          <w:tcPr>
            <w:tcW w:w="1346" w:type="dxa"/>
            <w:shd w:val="clear" w:color="auto" w:fill="auto"/>
          </w:tcPr>
          <w:p w14:paraId="60855816" w14:textId="77777777" w:rsidR="009A2D00" w:rsidRPr="00514456" w:rsidRDefault="009A2D00" w:rsidP="005567C9">
            <w:pPr>
              <w:rPr>
                <w:rFonts w:cs="Arial"/>
                <w:szCs w:val="22"/>
                <w:lang w:val="en-US"/>
              </w:rPr>
            </w:pPr>
            <w:r w:rsidRPr="00514456">
              <w:rPr>
                <w:rFonts w:cs="Arial"/>
                <w:szCs w:val="22"/>
                <w:lang w:val="en-US"/>
              </w:rPr>
              <w:t>17.6</w:t>
            </w:r>
          </w:p>
        </w:tc>
        <w:tc>
          <w:tcPr>
            <w:tcW w:w="1346" w:type="dxa"/>
            <w:shd w:val="clear" w:color="auto" w:fill="auto"/>
          </w:tcPr>
          <w:p w14:paraId="769134C2" w14:textId="77777777" w:rsidR="009A2D00" w:rsidRPr="00514456" w:rsidRDefault="009A2D00" w:rsidP="005567C9">
            <w:pPr>
              <w:rPr>
                <w:rFonts w:cs="Arial"/>
                <w:szCs w:val="22"/>
                <w:lang w:val="en-US"/>
              </w:rPr>
            </w:pPr>
            <w:r w:rsidRPr="00514456">
              <w:rPr>
                <w:rFonts w:cs="Arial"/>
                <w:szCs w:val="22"/>
                <w:lang w:val="en-US"/>
              </w:rPr>
              <w:t>6.0</w:t>
            </w:r>
          </w:p>
        </w:tc>
      </w:tr>
      <w:tr w:rsidR="009A2D00" w:rsidRPr="00514456" w14:paraId="2E51DE29" w14:textId="77777777" w:rsidTr="005567C9">
        <w:tc>
          <w:tcPr>
            <w:tcW w:w="1460" w:type="dxa"/>
            <w:shd w:val="clear" w:color="auto" w:fill="auto"/>
          </w:tcPr>
          <w:p w14:paraId="4BE0CCA8" w14:textId="77777777" w:rsidR="009A2D00" w:rsidRPr="00514456" w:rsidRDefault="009A2D00" w:rsidP="005567C9">
            <w:pPr>
              <w:rPr>
                <w:rFonts w:cs="Arial"/>
                <w:szCs w:val="22"/>
                <w:lang w:val="en-US"/>
              </w:rPr>
            </w:pPr>
            <w:r w:rsidRPr="00514456">
              <w:rPr>
                <w:rFonts w:cs="Arial"/>
                <w:szCs w:val="22"/>
                <w:lang w:val="en-US"/>
              </w:rPr>
              <w:t>Day2</w:t>
            </w:r>
          </w:p>
        </w:tc>
        <w:tc>
          <w:tcPr>
            <w:tcW w:w="1504" w:type="dxa"/>
            <w:shd w:val="clear" w:color="auto" w:fill="auto"/>
          </w:tcPr>
          <w:p w14:paraId="0A1816CF" w14:textId="77777777" w:rsidR="009A2D00" w:rsidRPr="00514456" w:rsidRDefault="009A2D00" w:rsidP="005567C9">
            <w:pPr>
              <w:rPr>
                <w:rFonts w:cs="Arial"/>
                <w:szCs w:val="22"/>
                <w:lang w:val="en-US"/>
              </w:rPr>
            </w:pPr>
            <w:r w:rsidRPr="00514456">
              <w:rPr>
                <w:rFonts w:cs="Arial"/>
                <w:szCs w:val="22"/>
                <w:lang w:val="en-US"/>
              </w:rPr>
              <w:t>217</w:t>
            </w:r>
          </w:p>
        </w:tc>
        <w:tc>
          <w:tcPr>
            <w:tcW w:w="1440" w:type="dxa"/>
            <w:shd w:val="clear" w:color="auto" w:fill="auto"/>
          </w:tcPr>
          <w:p w14:paraId="592FCB81" w14:textId="77777777" w:rsidR="009A2D00" w:rsidRPr="00514456" w:rsidRDefault="009A2D00" w:rsidP="005567C9">
            <w:pPr>
              <w:rPr>
                <w:rFonts w:cs="Arial"/>
                <w:szCs w:val="22"/>
                <w:lang w:val="en-US"/>
              </w:rPr>
            </w:pPr>
            <w:r w:rsidRPr="00514456">
              <w:rPr>
                <w:rFonts w:cs="Arial"/>
                <w:szCs w:val="22"/>
                <w:lang w:val="en-US"/>
              </w:rPr>
              <w:t>18.7</w:t>
            </w:r>
          </w:p>
        </w:tc>
        <w:tc>
          <w:tcPr>
            <w:tcW w:w="1412" w:type="dxa"/>
            <w:shd w:val="clear" w:color="auto" w:fill="auto"/>
          </w:tcPr>
          <w:p w14:paraId="199EF892" w14:textId="77777777" w:rsidR="009A2D00" w:rsidRPr="00514456" w:rsidRDefault="009A2D00" w:rsidP="005567C9">
            <w:pPr>
              <w:rPr>
                <w:rFonts w:cs="Arial"/>
                <w:szCs w:val="22"/>
                <w:lang w:val="en-US"/>
              </w:rPr>
            </w:pPr>
            <w:r w:rsidRPr="00514456">
              <w:rPr>
                <w:rFonts w:cs="Arial"/>
                <w:szCs w:val="22"/>
                <w:lang w:val="en-US"/>
              </w:rPr>
              <w:t>8.6</w:t>
            </w:r>
          </w:p>
        </w:tc>
        <w:tc>
          <w:tcPr>
            <w:tcW w:w="1346" w:type="dxa"/>
            <w:shd w:val="clear" w:color="auto" w:fill="auto"/>
          </w:tcPr>
          <w:p w14:paraId="02B2B150" w14:textId="77777777" w:rsidR="009A2D00" w:rsidRPr="00514456" w:rsidRDefault="009A2D00" w:rsidP="005567C9">
            <w:pPr>
              <w:rPr>
                <w:rFonts w:cs="Arial"/>
                <w:szCs w:val="22"/>
                <w:lang w:val="en-US"/>
              </w:rPr>
            </w:pPr>
            <w:r w:rsidRPr="00514456">
              <w:rPr>
                <w:rFonts w:cs="Arial"/>
                <w:szCs w:val="22"/>
                <w:lang w:val="en-US"/>
              </w:rPr>
              <w:t>300</w:t>
            </w:r>
          </w:p>
        </w:tc>
        <w:tc>
          <w:tcPr>
            <w:tcW w:w="1346" w:type="dxa"/>
            <w:shd w:val="clear" w:color="auto" w:fill="auto"/>
          </w:tcPr>
          <w:p w14:paraId="1C490D5A" w14:textId="77777777" w:rsidR="009A2D00" w:rsidRPr="00514456" w:rsidRDefault="009A2D00" w:rsidP="005567C9">
            <w:pPr>
              <w:rPr>
                <w:rFonts w:cs="Arial"/>
                <w:szCs w:val="22"/>
                <w:lang w:val="en-US"/>
              </w:rPr>
            </w:pPr>
            <w:r w:rsidRPr="00514456">
              <w:rPr>
                <w:rFonts w:cs="Arial"/>
                <w:szCs w:val="22"/>
                <w:lang w:val="en-US"/>
              </w:rPr>
              <w:t>1.5</w:t>
            </w:r>
          </w:p>
        </w:tc>
        <w:tc>
          <w:tcPr>
            <w:tcW w:w="1346" w:type="dxa"/>
            <w:shd w:val="clear" w:color="auto" w:fill="auto"/>
          </w:tcPr>
          <w:p w14:paraId="3991ED85" w14:textId="77777777" w:rsidR="009A2D00" w:rsidRPr="00514456" w:rsidRDefault="009A2D00" w:rsidP="005567C9">
            <w:pPr>
              <w:rPr>
                <w:rFonts w:cs="Arial"/>
                <w:szCs w:val="22"/>
                <w:lang w:val="en-US"/>
              </w:rPr>
            </w:pPr>
            <w:r w:rsidRPr="00514456">
              <w:rPr>
                <w:rFonts w:cs="Arial"/>
                <w:szCs w:val="22"/>
                <w:lang w:val="en-US"/>
              </w:rPr>
              <w:t>0.5</w:t>
            </w:r>
          </w:p>
        </w:tc>
      </w:tr>
      <w:tr w:rsidR="009A2D00" w:rsidRPr="00514456" w14:paraId="75E736AA" w14:textId="77777777" w:rsidTr="005567C9">
        <w:tc>
          <w:tcPr>
            <w:tcW w:w="1460" w:type="dxa"/>
            <w:shd w:val="clear" w:color="auto" w:fill="auto"/>
          </w:tcPr>
          <w:p w14:paraId="15C49261" w14:textId="77777777" w:rsidR="009A2D00" w:rsidRPr="00514456" w:rsidRDefault="009A2D00" w:rsidP="005567C9">
            <w:pPr>
              <w:rPr>
                <w:rFonts w:cs="Arial"/>
                <w:szCs w:val="22"/>
                <w:lang w:val="en-US"/>
              </w:rPr>
            </w:pPr>
            <w:r w:rsidRPr="00514456">
              <w:rPr>
                <w:rFonts w:cs="Arial"/>
                <w:szCs w:val="22"/>
                <w:lang w:val="en-US"/>
              </w:rPr>
              <w:t>Day 3</w:t>
            </w:r>
          </w:p>
        </w:tc>
        <w:tc>
          <w:tcPr>
            <w:tcW w:w="1504" w:type="dxa"/>
            <w:shd w:val="clear" w:color="auto" w:fill="auto"/>
          </w:tcPr>
          <w:p w14:paraId="313051A8" w14:textId="77777777" w:rsidR="009A2D00" w:rsidRPr="00514456" w:rsidRDefault="009A2D00" w:rsidP="005567C9">
            <w:pPr>
              <w:rPr>
                <w:rFonts w:cs="Arial"/>
                <w:szCs w:val="22"/>
                <w:lang w:val="en-US"/>
              </w:rPr>
            </w:pPr>
            <w:r w:rsidRPr="00514456">
              <w:rPr>
                <w:rFonts w:cs="Arial"/>
                <w:szCs w:val="22"/>
                <w:lang w:val="en-US"/>
              </w:rPr>
              <w:t>214</w:t>
            </w:r>
          </w:p>
        </w:tc>
        <w:tc>
          <w:tcPr>
            <w:tcW w:w="1440" w:type="dxa"/>
            <w:shd w:val="clear" w:color="auto" w:fill="auto"/>
          </w:tcPr>
          <w:p w14:paraId="25B95946" w14:textId="77777777" w:rsidR="009A2D00" w:rsidRPr="00514456" w:rsidRDefault="009A2D00" w:rsidP="005567C9">
            <w:pPr>
              <w:rPr>
                <w:rFonts w:cs="Arial"/>
                <w:szCs w:val="22"/>
                <w:lang w:val="en-US"/>
              </w:rPr>
            </w:pPr>
            <w:r w:rsidRPr="00514456">
              <w:rPr>
                <w:rFonts w:cs="Arial"/>
                <w:szCs w:val="22"/>
                <w:lang w:val="en-US"/>
              </w:rPr>
              <w:t>11.7</w:t>
            </w:r>
          </w:p>
        </w:tc>
        <w:tc>
          <w:tcPr>
            <w:tcW w:w="1412" w:type="dxa"/>
            <w:shd w:val="clear" w:color="auto" w:fill="auto"/>
          </w:tcPr>
          <w:p w14:paraId="52A29198" w14:textId="77777777" w:rsidR="009A2D00" w:rsidRPr="00514456" w:rsidRDefault="009A2D00" w:rsidP="005567C9">
            <w:pPr>
              <w:rPr>
                <w:rFonts w:cs="Arial"/>
                <w:szCs w:val="22"/>
                <w:lang w:val="en-US"/>
              </w:rPr>
            </w:pPr>
            <w:r w:rsidRPr="00514456">
              <w:rPr>
                <w:rFonts w:cs="Arial"/>
                <w:szCs w:val="22"/>
                <w:lang w:val="en-US"/>
              </w:rPr>
              <w:t>5.5</w:t>
            </w:r>
          </w:p>
        </w:tc>
        <w:tc>
          <w:tcPr>
            <w:tcW w:w="1346" w:type="dxa"/>
            <w:shd w:val="clear" w:color="auto" w:fill="auto"/>
          </w:tcPr>
          <w:p w14:paraId="41B852C7" w14:textId="77777777" w:rsidR="009A2D00" w:rsidRPr="00514456" w:rsidRDefault="009A2D00" w:rsidP="005567C9">
            <w:pPr>
              <w:rPr>
                <w:rFonts w:cs="Arial"/>
                <w:szCs w:val="22"/>
                <w:lang w:val="en-US"/>
              </w:rPr>
            </w:pPr>
            <w:r w:rsidRPr="00514456">
              <w:rPr>
                <w:rFonts w:cs="Arial"/>
                <w:szCs w:val="22"/>
                <w:lang w:val="en-US"/>
              </w:rPr>
              <w:t>303</w:t>
            </w:r>
          </w:p>
        </w:tc>
        <w:tc>
          <w:tcPr>
            <w:tcW w:w="1346" w:type="dxa"/>
            <w:shd w:val="clear" w:color="auto" w:fill="auto"/>
          </w:tcPr>
          <w:p w14:paraId="574C7EF9" w14:textId="77777777" w:rsidR="009A2D00" w:rsidRPr="00514456" w:rsidRDefault="009A2D00" w:rsidP="005567C9">
            <w:pPr>
              <w:rPr>
                <w:rFonts w:cs="Arial"/>
                <w:szCs w:val="22"/>
                <w:lang w:val="en-US"/>
              </w:rPr>
            </w:pPr>
            <w:r w:rsidRPr="00514456">
              <w:rPr>
                <w:rFonts w:cs="Arial"/>
                <w:szCs w:val="22"/>
                <w:lang w:val="en-US"/>
              </w:rPr>
              <w:t>702</w:t>
            </w:r>
          </w:p>
        </w:tc>
        <w:tc>
          <w:tcPr>
            <w:tcW w:w="1346" w:type="dxa"/>
            <w:shd w:val="clear" w:color="auto" w:fill="auto"/>
          </w:tcPr>
          <w:p w14:paraId="2CAFF8C4" w14:textId="77777777" w:rsidR="009A2D00" w:rsidRPr="00514456" w:rsidRDefault="009A2D00" w:rsidP="005567C9">
            <w:pPr>
              <w:rPr>
                <w:rFonts w:cs="Arial"/>
                <w:szCs w:val="22"/>
                <w:lang w:val="en-US"/>
              </w:rPr>
            </w:pPr>
            <w:r w:rsidRPr="00514456">
              <w:rPr>
                <w:rFonts w:cs="Arial"/>
                <w:szCs w:val="22"/>
                <w:lang w:val="en-US"/>
              </w:rPr>
              <w:t>2.4</w:t>
            </w:r>
          </w:p>
        </w:tc>
      </w:tr>
      <w:tr w:rsidR="009A2D00" w:rsidRPr="00514456" w14:paraId="39268BD1" w14:textId="77777777" w:rsidTr="005567C9">
        <w:tc>
          <w:tcPr>
            <w:tcW w:w="1460" w:type="dxa"/>
            <w:shd w:val="clear" w:color="auto" w:fill="auto"/>
          </w:tcPr>
          <w:p w14:paraId="42291231" w14:textId="77777777" w:rsidR="009A2D00" w:rsidRPr="00514456" w:rsidRDefault="009A2D00" w:rsidP="005567C9">
            <w:pPr>
              <w:rPr>
                <w:rFonts w:cs="Arial"/>
                <w:szCs w:val="22"/>
                <w:lang w:val="en-US"/>
              </w:rPr>
            </w:pPr>
            <w:r w:rsidRPr="00514456">
              <w:rPr>
                <w:rFonts w:cs="Arial"/>
                <w:szCs w:val="22"/>
                <w:lang w:val="en-US"/>
              </w:rPr>
              <w:t>Total</w:t>
            </w:r>
          </w:p>
        </w:tc>
        <w:tc>
          <w:tcPr>
            <w:tcW w:w="1504" w:type="dxa"/>
            <w:shd w:val="clear" w:color="auto" w:fill="auto"/>
          </w:tcPr>
          <w:p w14:paraId="3CABB426" w14:textId="77777777" w:rsidR="009A2D00" w:rsidRPr="00514456" w:rsidRDefault="009A2D00" w:rsidP="005567C9">
            <w:pPr>
              <w:rPr>
                <w:rFonts w:cs="Arial"/>
                <w:szCs w:val="22"/>
                <w:lang w:val="en-US"/>
              </w:rPr>
            </w:pPr>
            <w:r w:rsidRPr="00514456">
              <w:rPr>
                <w:rFonts w:cs="Arial"/>
                <w:szCs w:val="22"/>
                <w:lang w:val="en-US"/>
              </w:rPr>
              <w:t>211</w:t>
            </w:r>
          </w:p>
        </w:tc>
        <w:tc>
          <w:tcPr>
            <w:tcW w:w="1440" w:type="dxa"/>
            <w:shd w:val="clear" w:color="auto" w:fill="auto"/>
          </w:tcPr>
          <w:p w14:paraId="222AE12F" w14:textId="77777777" w:rsidR="009A2D00" w:rsidRPr="00514456" w:rsidRDefault="009A2D00" w:rsidP="005567C9">
            <w:pPr>
              <w:rPr>
                <w:rFonts w:cs="Arial"/>
                <w:szCs w:val="22"/>
                <w:lang w:val="en-US"/>
              </w:rPr>
            </w:pPr>
            <w:r w:rsidRPr="00514456">
              <w:rPr>
                <w:rFonts w:cs="Arial"/>
                <w:szCs w:val="22"/>
                <w:lang w:val="en-US"/>
              </w:rPr>
              <w:t>13.4</w:t>
            </w:r>
          </w:p>
        </w:tc>
        <w:tc>
          <w:tcPr>
            <w:tcW w:w="1412" w:type="dxa"/>
            <w:shd w:val="clear" w:color="auto" w:fill="auto"/>
          </w:tcPr>
          <w:p w14:paraId="620D9792" w14:textId="77777777" w:rsidR="009A2D00" w:rsidRPr="00514456" w:rsidRDefault="009A2D00" w:rsidP="005567C9">
            <w:pPr>
              <w:rPr>
                <w:rFonts w:cs="Arial"/>
                <w:szCs w:val="22"/>
                <w:lang w:val="en-US"/>
              </w:rPr>
            </w:pPr>
            <w:r w:rsidRPr="00514456">
              <w:rPr>
                <w:rFonts w:cs="Arial"/>
                <w:szCs w:val="22"/>
                <w:lang w:val="en-US"/>
              </w:rPr>
              <w:t>6.4</w:t>
            </w:r>
          </w:p>
        </w:tc>
        <w:tc>
          <w:tcPr>
            <w:tcW w:w="1346" w:type="dxa"/>
            <w:shd w:val="clear" w:color="auto" w:fill="auto"/>
          </w:tcPr>
          <w:p w14:paraId="3E7CB187" w14:textId="77777777" w:rsidR="009A2D00" w:rsidRPr="00514456" w:rsidRDefault="009A2D00" w:rsidP="005567C9">
            <w:pPr>
              <w:rPr>
                <w:rFonts w:cs="Arial"/>
                <w:szCs w:val="22"/>
                <w:lang w:val="en-US"/>
              </w:rPr>
            </w:pPr>
            <w:r w:rsidRPr="00514456">
              <w:rPr>
                <w:rFonts w:cs="Arial"/>
                <w:szCs w:val="22"/>
                <w:lang w:val="en-US"/>
              </w:rPr>
              <w:t>298</w:t>
            </w:r>
          </w:p>
        </w:tc>
        <w:tc>
          <w:tcPr>
            <w:tcW w:w="1346" w:type="dxa"/>
            <w:shd w:val="clear" w:color="auto" w:fill="auto"/>
          </w:tcPr>
          <w:p w14:paraId="50B35AB0" w14:textId="77777777" w:rsidR="009A2D00" w:rsidRPr="00514456" w:rsidRDefault="009A2D00" w:rsidP="005567C9">
            <w:pPr>
              <w:rPr>
                <w:rFonts w:cs="Arial"/>
                <w:szCs w:val="22"/>
                <w:lang w:val="en-US"/>
              </w:rPr>
            </w:pPr>
            <w:r w:rsidRPr="00514456">
              <w:rPr>
                <w:rFonts w:cs="Arial"/>
                <w:szCs w:val="22"/>
                <w:lang w:val="en-US"/>
              </w:rPr>
              <w:t>10.8</w:t>
            </w:r>
          </w:p>
        </w:tc>
        <w:tc>
          <w:tcPr>
            <w:tcW w:w="1346" w:type="dxa"/>
            <w:shd w:val="clear" w:color="auto" w:fill="auto"/>
          </w:tcPr>
          <w:p w14:paraId="0BAAF931" w14:textId="77777777" w:rsidR="009A2D00" w:rsidRPr="00514456" w:rsidRDefault="009A2D00" w:rsidP="005567C9">
            <w:pPr>
              <w:rPr>
                <w:rFonts w:cs="Arial"/>
                <w:szCs w:val="22"/>
                <w:lang w:val="en-US"/>
              </w:rPr>
            </w:pPr>
            <w:r w:rsidRPr="00514456">
              <w:rPr>
                <w:rFonts w:cs="Arial"/>
                <w:szCs w:val="22"/>
                <w:lang w:val="en-US"/>
              </w:rPr>
              <w:t>3.6</w:t>
            </w:r>
          </w:p>
        </w:tc>
      </w:tr>
    </w:tbl>
    <w:p w14:paraId="16CEA18D" w14:textId="77777777" w:rsidR="009A2D00" w:rsidRPr="00DD2228" w:rsidRDefault="009A2D00" w:rsidP="009A2D00">
      <w:pPr>
        <w:rPr>
          <w:sz w:val="8"/>
          <w:szCs w:val="8"/>
        </w:rPr>
      </w:pPr>
    </w:p>
    <w:sectPr w:rsidR="009A2D00" w:rsidRPr="00DD2228" w:rsidSect="004A658E">
      <w:type w:val="continuous"/>
      <w:pgSz w:w="11906" w:h="16838" w:code="9"/>
      <w:pgMar w:top="1191" w:right="1134" w:bottom="1191" w:left="1134" w:header="283"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37AED" w14:textId="77777777" w:rsidR="001E1F64" w:rsidRDefault="001E1F64">
      <w:r>
        <w:separator/>
      </w:r>
    </w:p>
  </w:endnote>
  <w:endnote w:type="continuationSeparator" w:id="0">
    <w:p w14:paraId="7BC1BD2A" w14:textId="77777777" w:rsidR="001E1F64" w:rsidRDefault="001E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39D7A" w14:textId="77777777" w:rsidR="001E1F64" w:rsidRDefault="001E1F64">
      <w:r>
        <w:separator/>
      </w:r>
    </w:p>
  </w:footnote>
  <w:footnote w:type="continuationSeparator" w:id="0">
    <w:p w14:paraId="71BF278E" w14:textId="77777777" w:rsidR="001E1F64" w:rsidRDefault="001E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108" w:type="dxa"/>
      <w:tblBorders>
        <w:top w:val="single" w:sz="4" w:space="0" w:color="auto"/>
        <w:bottom w:val="single" w:sz="4" w:space="0" w:color="auto"/>
      </w:tblBorders>
      <w:tblLayout w:type="fixed"/>
      <w:tblLook w:val="0000" w:firstRow="0" w:lastRow="0" w:firstColumn="0" w:lastColumn="0" w:noHBand="0" w:noVBand="0"/>
    </w:tblPr>
    <w:tblGrid>
      <w:gridCol w:w="10206"/>
    </w:tblGrid>
    <w:tr w:rsidR="00BA4840" w14:paraId="1B98B02D" w14:textId="77777777" w:rsidTr="007711E7">
      <w:trPr>
        <w:trHeight w:val="2189"/>
        <w:tblHeader/>
      </w:trPr>
      <w:tc>
        <w:tcPr>
          <w:tcW w:w="10206" w:type="dxa"/>
          <w:shd w:val="pct5" w:color="auto" w:fill="FFFFFF"/>
        </w:tcPr>
        <w:p w14:paraId="0644F4E5" w14:textId="77777777" w:rsidR="00BA4840" w:rsidRPr="004B2412" w:rsidRDefault="00344251" w:rsidP="007711E7">
          <w:pPr>
            <w:pStyle w:val="Header"/>
            <w:tabs>
              <w:tab w:val="clear" w:pos="8306"/>
              <w:tab w:val="right" w:pos="9531"/>
            </w:tabs>
            <w:spacing w:before="120" w:after="40"/>
            <w:rPr>
              <w:rFonts w:cs="Arial"/>
              <w:bCs/>
              <w:color w:val="000000"/>
              <w:sz w:val="20"/>
            </w:rPr>
          </w:pPr>
          <w:r>
            <w:rPr>
              <w:rFonts w:cs="Arial"/>
              <w:bCs/>
              <w:noProof/>
              <w:color w:val="000000"/>
              <w:sz w:val="20"/>
              <w:lang w:eastAsia="en-GB"/>
            </w:rPr>
            <w:drawing>
              <wp:anchor distT="0" distB="0" distL="114300" distR="114300" simplePos="0" relativeHeight="251658752" behindDoc="0" locked="0" layoutInCell="1" allowOverlap="1" wp14:anchorId="41B50CF1" wp14:editId="59BE5E7A">
                <wp:simplePos x="0" y="0"/>
                <wp:positionH relativeFrom="column">
                  <wp:posOffset>4905375</wp:posOffset>
                </wp:positionH>
                <wp:positionV relativeFrom="paragraph">
                  <wp:posOffset>10100</wp:posOffset>
                </wp:positionV>
                <wp:extent cx="1495425" cy="8356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35660"/>
                        </a:xfrm>
                        <a:prstGeom prst="rect">
                          <a:avLst/>
                        </a:prstGeom>
                        <a:noFill/>
                      </pic:spPr>
                    </pic:pic>
                  </a:graphicData>
                </a:graphic>
                <wp14:sizeRelH relativeFrom="page">
                  <wp14:pctWidth>0</wp14:pctWidth>
                </wp14:sizeRelH>
                <wp14:sizeRelV relativeFrom="page">
                  <wp14:pctHeight>0</wp14:pctHeight>
                </wp14:sizeRelV>
              </wp:anchor>
            </w:drawing>
          </w:r>
          <w:r w:rsidR="00F163D6">
            <w:rPr>
              <w:rFonts w:cs="Arial"/>
              <w:bCs/>
              <w:color w:val="000000"/>
              <w:sz w:val="20"/>
            </w:rPr>
            <w:t xml:space="preserve">  Speciality: </w:t>
          </w:r>
          <w:r w:rsidR="00BA4840" w:rsidRPr="004B2412">
            <w:rPr>
              <w:rFonts w:cs="Arial"/>
              <w:bCs/>
              <w:color w:val="000000"/>
              <w:sz w:val="20"/>
            </w:rPr>
            <w:t>Laboratory Medicine</w:t>
          </w:r>
          <w:r w:rsidR="002F03F6">
            <w:rPr>
              <w:rFonts w:cs="Arial"/>
              <w:bCs/>
              <w:color w:val="000000"/>
              <w:sz w:val="20"/>
            </w:rPr>
            <w:t xml:space="preserve">           </w:t>
          </w:r>
          <w:r w:rsidR="006F04E6">
            <w:rPr>
              <w:rFonts w:cs="Arial"/>
              <w:bCs/>
              <w:color w:val="000000"/>
              <w:sz w:val="20"/>
            </w:rPr>
            <w:t xml:space="preserve">     </w:t>
          </w:r>
          <w:r w:rsidR="002F03F6">
            <w:rPr>
              <w:rFonts w:cs="Arial"/>
              <w:bCs/>
              <w:color w:val="000000"/>
              <w:sz w:val="20"/>
            </w:rPr>
            <w:t xml:space="preserve">        </w:t>
          </w:r>
          <w:r w:rsidR="006F04E6">
            <w:rPr>
              <w:rFonts w:cs="Arial"/>
              <w:bCs/>
              <w:color w:val="000000"/>
              <w:sz w:val="20"/>
            </w:rPr>
            <w:t xml:space="preserve">                                           </w:t>
          </w:r>
          <w:r w:rsidR="002F03F6">
            <w:rPr>
              <w:rFonts w:cs="Arial"/>
              <w:bCs/>
              <w:color w:val="000000"/>
              <w:sz w:val="20"/>
            </w:rPr>
            <w:t xml:space="preserve">       </w:t>
          </w:r>
          <w:r w:rsidR="006F04E6">
            <w:rPr>
              <w:rFonts w:cs="Arial"/>
              <w:bCs/>
              <w:color w:val="000000"/>
              <w:sz w:val="20"/>
            </w:rPr>
            <w:t xml:space="preserve">                         </w:t>
          </w:r>
          <w:r w:rsidR="002F03F6">
            <w:rPr>
              <w:rFonts w:cs="Arial"/>
              <w:bCs/>
              <w:color w:val="000000"/>
              <w:sz w:val="20"/>
            </w:rPr>
            <w:t xml:space="preserve">              </w:t>
          </w:r>
          <w:r w:rsidR="007711E7">
            <w:rPr>
              <w:rFonts w:cs="Arial"/>
              <w:bCs/>
              <w:color w:val="000000"/>
              <w:sz w:val="20"/>
            </w:rPr>
            <w:t xml:space="preserve">          </w:t>
          </w:r>
          <w:r w:rsidR="002F03F6">
            <w:rPr>
              <w:rFonts w:cs="Arial"/>
              <w:bCs/>
              <w:color w:val="000000"/>
              <w:sz w:val="20"/>
            </w:rPr>
            <w:t xml:space="preserve">  </w:t>
          </w:r>
        </w:p>
        <w:p w14:paraId="1E73A84B" w14:textId="77777777" w:rsidR="00BA4840" w:rsidRDefault="00F163D6" w:rsidP="00C7143A">
          <w:pPr>
            <w:pStyle w:val="Header"/>
            <w:spacing w:before="40" w:after="40"/>
            <w:ind w:left="117"/>
            <w:rPr>
              <w:rFonts w:cs="Arial"/>
              <w:color w:val="548DD4"/>
              <w:sz w:val="20"/>
            </w:rPr>
          </w:pPr>
          <w:r>
            <w:rPr>
              <w:rFonts w:cs="Arial"/>
              <w:bCs/>
              <w:color w:val="000000"/>
              <w:sz w:val="20"/>
            </w:rPr>
            <w:t>Location</w:t>
          </w:r>
          <w:r w:rsidR="00BA4840">
            <w:rPr>
              <w:rFonts w:cs="Arial"/>
              <w:bCs/>
              <w:color w:val="000000"/>
              <w:sz w:val="20"/>
            </w:rPr>
            <w:t xml:space="preserve">: </w:t>
          </w:r>
          <w:r w:rsidR="00003AC9" w:rsidRPr="00003AC9">
            <w:rPr>
              <w:rFonts w:cs="Arial"/>
              <w:sz w:val="20"/>
            </w:rPr>
            <w:t>Point of Care Testing</w:t>
          </w:r>
        </w:p>
        <w:p w14:paraId="560C1A70" w14:textId="77777777" w:rsidR="00BA4840" w:rsidRDefault="00BA4840" w:rsidP="00C7143A">
          <w:pPr>
            <w:pStyle w:val="Header"/>
            <w:spacing w:before="40" w:after="40"/>
            <w:ind w:left="117"/>
            <w:rPr>
              <w:rFonts w:cs="Arial"/>
              <w:color w:val="548DD4"/>
              <w:sz w:val="20"/>
            </w:rPr>
          </w:pPr>
          <w:r>
            <w:rPr>
              <w:rFonts w:cs="Arial"/>
              <w:bCs/>
              <w:sz w:val="20"/>
            </w:rPr>
            <w:t>F</w:t>
          </w:r>
          <w:r w:rsidRPr="004B2412">
            <w:rPr>
              <w:rFonts w:cs="Arial"/>
              <w:bCs/>
              <w:sz w:val="20"/>
            </w:rPr>
            <w:t>ilename</w:t>
          </w:r>
          <w:r>
            <w:rPr>
              <w:rFonts w:cs="Arial"/>
              <w:bCs/>
              <w:sz w:val="20"/>
            </w:rPr>
            <w:t>:</w:t>
          </w:r>
          <w:r>
            <w:t xml:space="preserve"> </w:t>
          </w:r>
          <w:r w:rsidR="00003AC9">
            <w:rPr>
              <w:rFonts w:cs="Arial"/>
              <w:bCs/>
              <w:sz w:val="20"/>
            </w:rPr>
            <w:t>PC-SOP-HEMOCHRON</w:t>
          </w:r>
        </w:p>
        <w:p w14:paraId="295F28AF" w14:textId="77777777" w:rsidR="00BA4840" w:rsidRPr="004B2412" w:rsidRDefault="00344251" w:rsidP="00BA4840">
          <w:pPr>
            <w:pStyle w:val="Header"/>
            <w:tabs>
              <w:tab w:val="clear" w:pos="4153"/>
              <w:tab w:val="center" w:pos="9459"/>
            </w:tabs>
            <w:spacing w:before="40" w:after="40"/>
            <w:ind w:left="117"/>
            <w:rPr>
              <w:rFonts w:cs="Arial"/>
              <w:bCs/>
              <w:color w:val="000000"/>
              <w:sz w:val="20"/>
            </w:rPr>
          </w:pPr>
          <w:r>
            <w:rPr>
              <w:rFonts w:cs="Arial"/>
              <w:bCs/>
              <w:sz w:val="20"/>
            </w:rPr>
            <w:t xml:space="preserve">Version: </w:t>
          </w:r>
          <w:r w:rsidR="00003AC9">
            <w:rPr>
              <w:rFonts w:cs="Arial"/>
              <w:bCs/>
              <w:sz w:val="20"/>
            </w:rPr>
            <w:t>04</w:t>
          </w:r>
        </w:p>
        <w:p w14:paraId="42A88DED" w14:textId="2A7515C5" w:rsidR="00BA4840" w:rsidRPr="00003AC9" w:rsidRDefault="00BA4840" w:rsidP="008C06B7">
          <w:pPr>
            <w:pStyle w:val="Header"/>
            <w:spacing w:before="40" w:after="40"/>
            <w:ind w:left="117"/>
            <w:rPr>
              <w:rFonts w:cs="Arial"/>
              <w:bCs/>
              <w:sz w:val="20"/>
            </w:rPr>
          </w:pPr>
          <w:r>
            <w:rPr>
              <w:rFonts w:cs="Arial"/>
              <w:bCs/>
              <w:sz w:val="20"/>
            </w:rPr>
            <w:t xml:space="preserve">Date </w:t>
          </w:r>
          <w:r w:rsidRPr="00003AC9">
            <w:rPr>
              <w:rFonts w:cs="Arial"/>
              <w:bCs/>
              <w:sz w:val="20"/>
            </w:rPr>
            <w:t xml:space="preserve">of Issue: </w:t>
          </w:r>
          <w:r w:rsidR="007F4006">
            <w:rPr>
              <w:rFonts w:cs="Arial"/>
              <w:bCs/>
              <w:sz w:val="20"/>
            </w:rPr>
            <w:t>June</w:t>
          </w:r>
          <w:r w:rsidR="00003AC9" w:rsidRPr="00003AC9">
            <w:rPr>
              <w:rFonts w:cs="Arial"/>
              <w:bCs/>
              <w:sz w:val="20"/>
            </w:rPr>
            <w:t xml:space="preserve"> 2022</w:t>
          </w:r>
          <w:r w:rsidR="00344251" w:rsidRPr="00003AC9">
            <w:rPr>
              <w:noProof/>
              <w:lang w:eastAsia="en-GB"/>
            </w:rPr>
            <w:t xml:space="preserve"> </w:t>
          </w:r>
        </w:p>
        <w:p w14:paraId="57599A75" w14:textId="77777777" w:rsidR="002F03F6" w:rsidRPr="00003AC9" w:rsidRDefault="00305934" w:rsidP="002F03F6">
          <w:pPr>
            <w:pStyle w:val="Header"/>
            <w:spacing w:before="40" w:after="40"/>
            <w:rPr>
              <w:rFonts w:cs="Arial"/>
              <w:sz w:val="20"/>
            </w:rPr>
          </w:pPr>
          <w:r w:rsidRPr="00003AC9">
            <w:rPr>
              <w:rFonts w:cs="Arial"/>
              <w:bCs/>
              <w:snapToGrid w:val="0"/>
              <w:sz w:val="20"/>
            </w:rPr>
            <w:t xml:space="preserve">  Title:</w:t>
          </w:r>
          <w:r w:rsidR="009B344E" w:rsidRPr="00003AC9">
            <w:rPr>
              <w:rFonts w:cs="Arial"/>
              <w:bCs/>
              <w:snapToGrid w:val="0"/>
              <w:sz w:val="20"/>
            </w:rPr>
            <w:t xml:space="preserve"> </w:t>
          </w:r>
          <w:r w:rsidR="00003AC9" w:rsidRPr="00003AC9">
            <w:rPr>
              <w:rFonts w:cs="Arial"/>
              <w:sz w:val="20"/>
            </w:rPr>
            <w:t>LR-ACT USING HEMOCHRON SIGNATURE ELITE</w:t>
          </w:r>
        </w:p>
        <w:p w14:paraId="238760C8" w14:textId="77777777" w:rsidR="004A658E" w:rsidRPr="004B2412" w:rsidRDefault="004A658E" w:rsidP="00DB61C2">
          <w:pPr>
            <w:pStyle w:val="Header"/>
            <w:spacing w:before="40" w:after="40"/>
            <w:ind w:left="117"/>
            <w:jc w:val="right"/>
            <w:rPr>
              <w:rFonts w:cs="Arial"/>
              <w:bCs/>
              <w:sz w:val="20"/>
            </w:rPr>
          </w:pPr>
          <w:r w:rsidRPr="004B2412">
            <w:rPr>
              <w:rFonts w:cs="Arial"/>
              <w:bCs/>
              <w:snapToGrid w:val="0"/>
              <w:sz w:val="20"/>
            </w:rPr>
            <w:t xml:space="preserve">Page </w:t>
          </w:r>
          <w:r w:rsidRPr="004B2412">
            <w:rPr>
              <w:rFonts w:cs="Arial"/>
              <w:bCs/>
              <w:snapToGrid w:val="0"/>
              <w:sz w:val="20"/>
            </w:rPr>
            <w:fldChar w:fldCharType="begin"/>
          </w:r>
          <w:r w:rsidRPr="004B2412">
            <w:rPr>
              <w:rFonts w:cs="Arial"/>
              <w:bCs/>
              <w:snapToGrid w:val="0"/>
              <w:sz w:val="20"/>
            </w:rPr>
            <w:instrText xml:space="preserve"> PAGE  \* MERGEFORMAT </w:instrText>
          </w:r>
          <w:r w:rsidRPr="004B2412">
            <w:rPr>
              <w:rFonts w:cs="Arial"/>
              <w:bCs/>
              <w:snapToGrid w:val="0"/>
              <w:sz w:val="20"/>
            </w:rPr>
            <w:fldChar w:fldCharType="separate"/>
          </w:r>
          <w:r w:rsidR="00CB2ECF">
            <w:rPr>
              <w:rFonts w:cs="Arial"/>
              <w:bCs/>
              <w:noProof/>
              <w:snapToGrid w:val="0"/>
              <w:sz w:val="20"/>
            </w:rPr>
            <w:t>9</w:t>
          </w:r>
          <w:r w:rsidRPr="004B2412">
            <w:rPr>
              <w:rFonts w:cs="Arial"/>
              <w:bCs/>
              <w:snapToGrid w:val="0"/>
              <w:sz w:val="20"/>
            </w:rPr>
            <w:fldChar w:fldCharType="end"/>
          </w:r>
          <w:r w:rsidRPr="004B2412">
            <w:rPr>
              <w:rFonts w:cs="Arial"/>
              <w:bCs/>
              <w:snapToGrid w:val="0"/>
              <w:sz w:val="20"/>
            </w:rPr>
            <w:t xml:space="preserve"> of </w:t>
          </w:r>
          <w:r w:rsidRPr="004B2412">
            <w:rPr>
              <w:rFonts w:cs="Arial"/>
              <w:bCs/>
              <w:snapToGrid w:val="0"/>
              <w:sz w:val="20"/>
            </w:rPr>
            <w:fldChar w:fldCharType="begin"/>
          </w:r>
          <w:r w:rsidRPr="004B2412">
            <w:rPr>
              <w:rFonts w:cs="Arial"/>
              <w:bCs/>
              <w:snapToGrid w:val="0"/>
              <w:sz w:val="20"/>
            </w:rPr>
            <w:instrText xml:space="preserve"> NUMPAGES  \* MERGEFORMAT </w:instrText>
          </w:r>
          <w:r w:rsidRPr="004B2412">
            <w:rPr>
              <w:rFonts w:cs="Arial"/>
              <w:bCs/>
              <w:snapToGrid w:val="0"/>
              <w:sz w:val="20"/>
            </w:rPr>
            <w:fldChar w:fldCharType="separate"/>
          </w:r>
          <w:r w:rsidR="00CB2ECF">
            <w:rPr>
              <w:rFonts w:cs="Arial"/>
              <w:bCs/>
              <w:noProof/>
              <w:snapToGrid w:val="0"/>
              <w:sz w:val="20"/>
            </w:rPr>
            <w:t>11</w:t>
          </w:r>
          <w:r w:rsidRPr="004B2412">
            <w:rPr>
              <w:rFonts w:cs="Arial"/>
              <w:bCs/>
              <w:snapToGrid w:val="0"/>
              <w:sz w:val="20"/>
            </w:rPr>
            <w:fldChar w:fldCharType="end"/>
          </w:r>
        </w:p>
      </w:tc>
    </w:tr>
  </w:tbl>
  <w:p w14:paraId="4BAB67D1" w14:textId="77777777" w:rsidR="00BA4840" w:rsidRDefault="00BA4840" w:rsidP="004A6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C31"/>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1" w15:restartNumberingAfterBreak="0">
    <w:nsid w:val="01500466"/>
    <w:multiLevelType w:val="hybridMultilevel"/>
    <w:tmpl w:val="55D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02BDA"/>
    <w:multiLevelType w:val="hybridMultilevel"/>
    <w:tmpl w:val="0CB8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87EDB"/>
    <w:multiLevelType w:val="hybridMultilevel"/>
    <w:tmpl w:val="F26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2209D"/>
    <w:multiLevelType w:val="hybridMultilevel"/>
    <w:tmpl w:val="1F0C6826"/>
    <w:lvl w:ilvl="0" w:tplc="A0B845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A5F15"/>
    <w:multiLevelType w:val="hybridMultilevel"/>
    <w:tmpl w:val="FD5C5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20E23"/>
    <w:multiLevelType w:val="hybridMultilevel"/>
    <w:tmpl w:val="302A36B6"/>
    <w:lvl w:ilvl="0" w:tplc="7C205BA2">
      <w:start w:val="1"/>
      <w:numFmt w:val="bullet"/>
      <w:lvlText w:val=""/>
      <w:lvlJc w:val="left"/>
      <w:pPr>
        <w:tabs>
          <w:tab w:val="num" w:pos="417"/>
        </w:tabs>
        <w:ind w:left="417" w:hanging="360"/>
      </w:pPr>
      <w:rPr>
        <w:rFonts w:ascii="Symbol" w:hAnsi="Symbol" w:hint="default"/>
        <w:b w:val="0"/>
        <w:i w:val="0"/>
        <w:color w:val="auto"/>
        <w:sz w:val="12"/>
        <w:szCs w:val="12"/>
      </w:rPr>
    </w:lvl>
    <w:lvl w:ilvl="1" w:tplc="7A348AFC">
      <w:start w:val="1"/>
      <w:numFmt w:val="bullet"/>
      <w:lvlText w:val=""/>
      <w:lvlJc w:val="left"/>
      <w:pPr>
        <w:tabs>
          <w:tab w:val="num" w:pos="1307"/>
        </w:tabs>
        <w:ind w:left="1307" w:hanging="227"/>
      </w:pPr>
      <w:rPr>
        <w:rFonts w:ascii="Wingdings" w:hAnsi="Wingdings" w:hint="default"/>
        <w:b w:val="0"/>
        <w:i w:val="0"/>
        <w:color w:val="FF0000"/>
        <w:sz w:val="12"/>
        <w:szCs w:val="1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8" w15:restartNumberingAfterBreak="0">
    <w:nsid w:val="1A7534E6"/>
    <w:multiLevelType w:val="hybridMultilevel"/>
    <w:tmpl w:val="1F963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D4FEC"/>
    <w:multiLevelType w:val="hybridMultilevel"/>
    <w:tmpl w:val="89449D2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 w15:restartNumberingAfterBreak="0">
    <w:nsid w:val="1DEC27B3"/>
    <w:multiLevelType w:val="hybridMultilevel"/>
    <w:tmpl w:val="690C86C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1" w15:restartNumberingAfterBreak="0">
    <w:nsid w:val="1FD202A6"/>
    <w:multiLevelType w:val="hybridMultilevel"/>
    <w:tmpl w:val="03366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1D7E5E"/>
    <w:multiLevelType w:val="hybridMultilevel"/>
    <w:tmpl w:val="5FF2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229CD"/>
    <w:multiLevelType w:val="hybridMultilevel"/>
    <w:tmpl w:val="9D5E982A"/>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4" w15:restartNumberingAfterBreak="0">
    <w:nsid w:val="29FC57D7"/>
    <w:multiLevelType w:val="multilevel"/>
    <w:tmpl w:val="965017F0"/>
    <w:lvl w:ilvl="0">
      <w:start w:val="1"/>
      <w:numFmt w:val="decimal"/>
      <w:pStyle w:val="Heading1"/>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C7E0B57"/>
    <w:multiLevelType w:val="hybridMultilevel"/>
    <w:tmpl w:val="5CCC7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0482A"/>
    <w:multiLevelType w:val="hybridMultilevel"/>
    <w:tmpl w:val="779E5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81775"/>
    <w:multiLevelType w:val="multilevel"/>
    <w:tmpl w:val="23C8248A"/>
    <w:lvl w:ilvl="0">
      <w:start w:val="1"/>
      <w:numFmt w:val="bullet"/>
      <w:lvlText w:val=""/>
      <w:lvlJc w:val="left"/>
      <w:pPr>
        <w:tabs>
          <w:tab w:val="num" w:pos="417"/>
        </w:tabs>
        <w:ind w:left="417" w:hanging="360"/>
      </w:pPr>
      <w:rPr>
        <w:rFonts w:ascii="Symbol" w:hAnsi="Symbol" w:hint="default"/>
        <w:b w:val="0"/>
        <w:i w:val="0"/>
        <w:color w:val="auto"/>
        <w:sz w:val="12"/>
        <w:szCs w:val="12"/>
      </w:rPr>
    </w:lvl>
    <w:lvl w:ilvl="1">
      <w:start w:val="1"/>
      <w:numFmt w:val="bullet"/>
      <w:lvlText w:val=""/>
      <w:lvlJc w:val="left"/>
      <w:pPr>
        <w:tabs>
          <w:tab w:val="num" w:pos="1440"/>
        </w:tabs>
        <w:ind w:left="1440" w:hanging="360"/>
      </w:pPr>
      <w:rPr>
        <w:rFonts w:ascii="Wingdings" w:hAnsi="Wingdings" w:hint="default"/>
        <w:b w:val="0"/>
        <w:i w:val="0"/>
        <w:color w:val="auto"/>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33AA1"/>
    <w:multiLevelType w:val="hybridMultilevel"/>
    <w:tmpl w:val="D8CEE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E766F07"/>
    <w:multiLevelType w:val="hybridMultilevel"/>
    <w:tmpl w:val="57421B1C"/>
    <w:lvl w:ilvl="0" w:tplc="A0B8457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86426"/>
    <w:multiLevelType w:val="hybridMultilevel"/>
    <w:tmpl w:val="906AD5D4"/>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1" w15:restartNumberingAfterBreak="0">
    <w:nsid w:val="42DC214A"/>
    <w:multiLevelType w:val="hybridMultilevel"/>
    <w:tmpl w:val="7FC0846A"/>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2" w15:restartNumberingAfterBreak="0">
    <w:nsid w:val="42E769AD"/>
    <w:multiLevelType w:val="hybridMultilevel"/>
    <w:tmpl w:val="E05E0DC4"/>
    <w:lvl w:ilvl="0" w:tplc="ABB49622">
      <w:start w:val="1"/>
      <w:numFmt w:val="bullet"/>
      <w:lvlText w:val=""/>
      <w:lvlJc w:val="left"/>
      <w:pPr>
        <w:tabs>
          <w:tab w:val="num" w:pos="960"/>
        </w:tabs>
        <w:ind w:left="96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432122"/>
    <w:multiLevelType w:val="hybridMultilevel"/>
    <w:tmpl w:val="7AF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55F85"/>
    <w:multiLevelType w:val="hybridMultilevel"/>
    <w:tmpl w:val="F4029272"/>
    <w:lvl w:ilvl="0" w:tplc="A0B845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C35C1"/>
    <w:multiLevelType w:val="hybridMultilevel"/>
    <w:tmpl w:val="E8661E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5F2D2A"/>
    <w:multiLevelType w:val="hybridMultilevel"/>
    <w:tmpl w:val="DCB837BC"/>
    <w:lvl w:ilvl="0" w:tplc="08090001">
      <w:start w:val="1"/>
      <w:numFmt w:val="bullet"/>
      <w:lvlText w:val=""/>
      <w:lvlJc w:val="left"/>
      <w:pPr>
        <w:ind w:left="720" w:hanging="360"/>
      </w:pPr>
      <w:rPr>
        <w:rFonts w:ascii="Symbol" w:hAnsi="Symbol" w:hint="default"/>
      </w:rPr>
    </w:lvl>
    <w:lvl w:ilvl="1" w:tplc="2EDE7B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D74C6"/>
    <w:multiLevelType w:val="multilevel"/>
    <w:tmpl w:val="5C28F3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30A2D"/>
    <w:multiLevelType w:val="hybridMultilevel"/>
    <w:tmpl w:val="8578E6E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D747B2"/>
    <w:multiLevelType w:val="hybridMultilevel"/>
    <w:tmpl w:val="9522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D1E61"/>
    <w:multiLevelType w:val="hybridMultilevel"/>
    <w:tmpl w:val="26DC4D82"/>
    <w:lvl w:ilvl="0" w:tplc="F9D63EBA">
      <w:start w:val="1"/>
      <w:numFmt w:val="bullet"/>
      <w:pStyle w:val="GBNormal"/>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EF63E35"/>
    <w:multiLevelType w:val="hybridMultilevel"/>
    <w:tmpl w:val="7FF65F5A"/>
    <w:lvl w:ilvl="0" w:tplc="DF4A935A">
      <w:start w:val="1"/>
      <w:numFmt w:val="bullet"/>
      <w:lvlText w:val=""/>
      <w:lvlJc w:val="left"/>
      <w:pPr>
        <w:tabs>
          <w:tab w:val="num" w:pos="1083"/>
        </w:tabs>
        <w:ind w:left="108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415825"/>
    <w:multiLevelType w:val="hybridMultilevel"/>
    <w:tmpl w:val="A2FC1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A213B0"/>
    <w:multiLevelType w:val="hybridMultilevel"/>
    <w:tmpl w:val="E6A29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7E6E63"/>
    <w:multiLevelType w:val="hybridMultilevel"/>
    <w:tmpl w:val="1494E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F759C2"/>
    <w:multiLevelType w:val="hybridMultilevel"/>
    <w:tmpl w:val="23C8248A"/>
    <w:lvl w:ilvl="0" w:tplc="7C205BA2">
      <w:start w:val="1"/>
      <w:numFmt w:val="bullet"/>
      <w:lvlText w:val=""/>
      <w:lvlJc w:val="left"/>
      <w:pPr>
        <w:tabs>
          <w:tab w:val="num" w:pos="417"/>
        </w:tabs>
        <w:ind w:left="417" w:hanging="360"/>
      </w:pPr>
      <w:rPr>
        <w:rFonts w:ascii="Symbol" w:hAnsi="Symbol" w:hint="default"/>
        <w:b w:val="0"/>
        <w:i w:val="0"/>
        <w:color w:val="auto"/>
        <w:sz w:val="12"/>
        <w:szCs w:val="12"/>
      </w:rPr>
    </w:lvl>
    <w:lvl w:ilvl="1" w:tplc="4C2CC1BC">
      <w:start w:val="1"/>
      <w:numFmt w:val="bullet"/>
      <w:lvlText w:val=""/>
      <w:lvlJc w:val="left"/>
      <w:pPr>
        <w:tabs>
          <w:tab w:val="num" w:pos="1440"/>
        </w:tabs>
        <w:ind w:left="1440" w:hanging="360"/>
      </w:pPr>
      <w:rPr>
        <w:rFonts w:ascii="Wingdings" w:hAnsi="Wingdings" w:hint="default"/>
        <w:b w:val="0"/>
        <w:i w:val="0"/>
        <w:color w:val="auto"/>
        <w:sz w:val="16"/>
        <w:szCs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6549C"/>
    <w:multiLevelType w:val="hybridMultilevel"/>
    <w:tmpl w:val="7BDA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63EE0"/>
    <w:multiLevelType w:val="hybridMultilevel"/>
    <w:tmpl w:val="9760D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220A7"/>
    <w:multiLevelType w:val="hybridMultilevel"/>
    <w:tmpl w:val="C71AE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30"/>
  </w:num>
  <w:num w:numId="5">
    <w:abstractNumId w:val="35"/>
  </w:num>
  <w:num w:numId="6">
    <w:abstractNumId w:val="5"/>
  </w:num>
  <w:num w:numId="7">
    <w:abstractNumId w:val="14"/>
  </w:num>
  <w:num w:numId="8">
    <w:abstractNumId w:val="17"/>
  </w:num>
  <w:num w:numId="9">
    <w:abstractNumId w:val="6"/>
  </w:num>
  <w:num w:numId="10">
    <w:abstractNumId w:val="28"/>
  </w:num>
  <w:num w:numId="11">
    <w:abstractNumId w:val="22"/>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8"/>
  </w:num>
  <w:num w:numId="21">
    <w:abstractNumId w:val="15"/>
  </w:num>
  <w:num w:numId="22">
    <w:abstractNumId w:val="16"/>
  </w:num>
  <w:num w:numId="23">
    <w:abstractNumId w:val="37"/>
  </w:num>
  <w:num w:numId="24">
    <w:abstractNumId w:val="29"/>
  </w:num>
  <w:num w:numId="25">
    <w:abstractNumId w:val="23"/>
  </w:num>
  <w:num w:numId="26">
    <w:abstractNumId w:val="1"/>
  </w:num>
  <w:num w:numId="27">
    <w:abstractNumId w:val="10"/>
  </w:num>
  <w:num w:numId="28">
    <w:abstractNumId w:val="20"/>
  </w:num>
  <w:num w:numId="29">
    <w:abstractNumId w:val="21"/>
  </w:num>
  <w:num w:numId="30">
    <w:abstractNumId w:val="9"/>
  </w:num>
  <w:num w:numId="31">
    <w:abstractNumId w:val="11"/>
  </w:num>
  <w:num w:numId="32">
    <w:abstractNumId w:val="13"/>
  </w:num>
  <w:num w:numId="33">
    <w:abstractNumId w:val="3"/>
  </w:num>
  <w:num w:numId="34">
    <w:abstractNumId w:val="4"/>
  </w:num>
  <w:num w:numId="35">
    <w:abstractNumId w:val="19"/>
  </w:num>
  <w:num w:numId="36">
    <w:abstractNumId w:val="32"/>
  </w:num>
  <w:num w:numId="37">
    <w:abstractNumId w:val="26"/>
  </w:num>
  <w:num w:numId="38">
    <w:abstractNumId w:val="24"/>
  </w:num>
  <w:num w:numId="39">
    <w:abstractNumId w:val="33"/>
  </w:num>
  <w:num w:numId="40">
    <w:abstractNumId w:val="27"/>
  </w:num>
  <w:num w:numId="41">
    <w:abstractNumId w:val="38"/>
  </w:num>
  <w:num w:numId="42">
    <w:abstractNumId w:val="18"/>
  </w:num>
  <w:num w:numId="43">
    <w:abstractNumId w:val="34"/>
  </w:num>
  <w:num w:numId="44">
    <w:abstractNumId w:val="2"/>
  </w:num>
  <w:num w:numId="45">
    <w:abstractNumId w:val="12"/>
  </w:num>
  <w:num w:numId="46">
    <w:abstractNumId w:val="36"/>
  </w:num>
  <w:num w:numId="47">
    <w:abstractNumId w:val="31"/>
  </w:num>
  <w:num w:numId="4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AC"/>
    <w:rsid w:val="000012D7"/>
    <w:rsid w:val="00003AC9"/>
    <w:rsid w:val="0002567E"/>
    <w:rsid w:val="00042173"/>
    <w:rsid w:val="00043259"/>
    <w:rsid w:val="000642FA"/>
    <w:rsid w:val="00067D34"/>
    <w:rsid w:val="000772FF"/>
    <w:rsid w:val="00093AEC"/>
    <w:rsid w:val="000A5105"/>
    <w:rsid w:val="000A6255"/>
    <w:rsid w:val="000B1AA3"/>
    <w:rsid w:val="000D24AC"/>
    <w:rsid w:val="000D3E77"/>
    <w:rsid w:val="000D3F46"/>
    <w:rsid w:val="000D7518"/>
    <w:rsid w:val="000E3456"/>
    <w:rsid w:val="000E557D"/>
    <w:rsid w:val="000E7358"/>
    <w:rsid w:val="000E777E"/>
    <w:rsid w:val="000E7FDF"/>
    <w:rsid w:val="000F0E14"/>
    <w:rsid w:val="00102F3A"/>
    <w:rsid w:val="00103991"/>
    <w:rsid w:val="00105A6D"/>
    <w:rsid w:val="001078FB"/>
    <w:rsid w:val="001112B2"/>
    <w:rsid w:val="001118C5"/>
    <w:rsid w:val="00112AF6"/>
    <w:rsid w:val="00115164"/>
    <w:rsid w:val="00120744"/>
    <w:rsid w:val="00145EB3"/>
    <w:rsid w:val="00154129"/>
    <w:rsid w:val="0017384E"/>
    <w:rsid w:val="001743B9"/>
    <w:rsid w:val="00190ABC"/>
    <w:rsid w:val="001A1D6A"/>
    <w:rsid w:val="001D0875"/>
    <w:rsid w:val="001E1F64"/>
    <w:rsid w:val="001E3DE3"/>
    <w:rsid w:val="001E6134"/>
    <w:rsid w:val="001F08FE"/>
    <w:rsid w:val="00205B19"/>
    <w:rsid w:val="00205E49"/>
    <w:rsid w:val="00210F61"/>
    <w:rsid w:val="00217489"/>
    <w:rsid w:val="0024068A"/>
    <w:rsid w:val="00244AAC"/>
    <w:rsid w:val="00247304"/>
    <w:rsid w:val="00251847"/>
    <w:rsid w:val="00264C91"/>
    <w:rsid w:val="002876D0"/>
    <w:rsid w:val="00287C3E"/>
    <w:rsid w:val="002910BD"/>
    <w:rsid w:val="002B18C8"/>
    <w:rsid w:val="002B229E"/>
    <w:rsid w:val="002C0BC8"/>
    <w:rsid w:val="002C5007"/>
    <w:rsid w:val="002D6E05"/>
    <w:rsid w:val="002E17FD"/>
    <w:rsid w:val="002E5109"/>
    <w:rsid w:val="002F03F6"/>
    <w:rsid w:val="002F357B"/>
    <w:rsid w:val="002F449A"/>
    <w:rsid w:val="00301163"/>
    <w:rsid w:val="00302063"/>
    <w:rsid w:val="00304F73"/>
    <w:rsid w:val="003051F5"/>
    <w:rsid w:val="00305934"/>
    <w:rsid w:val="0030671F"/>
    <w:rsid w:val="00307ABA"/>
    <w:rsid w:val="0031005A"/>
    <w:rsid w:val="00314AA7"/>
    <w:rsid w:val="00317446"/>
    <w:rsid w:val="0033539D"/>
    <w:rsid w:val="00336289"/>
    <w:rsid w:val="00344251"/>
    <w:rsid w:val="00345DB5"/>
    <w:rsid w:val="00351220"/>
    <w:rsid w:val="0035281D"/>
    <w:rsid w:val="00363D31"/>
    <w:rsid w:val="00363E9A"/>
    <w:rsid w:val="003A6618"/>
    <w:rsid w:val="003C4B41"/>
    <w:rsid w:val="003D3D08"/>
    <w:rsid w:val="003E6918"/>
    <w:rsid w:val="003F01AA"/>
    <w:rsid w:val="003F6285"/>
    <w:rsid w:val="00404C81"/>
    <w:rsid w:val="0040572E"/>
    <w:rsid w:val="00440468"/>
    <w:rsid w:val="00446E14"/>
    <w:rsid w:val="00473B50"/>
    <w:rsid w:val="00474715"/>
    <w:rsid w:val="00474A5B"/>
    <w:rsid w:val="00483311"/>
    <w:rsid w:val="0048350B"/>
    <w:rsid w:val="004879F8"/>
    <w:rsid w:val="004A658E"/>
    <w:rsid w:val="004B2412"/>
    <w:rsid w:val="004B6423"/>
    <w:rsid w:val="004C1E5F"/>
    <w:rsid w:val="004C6CCF"/>
    <w:rsid w:val="004D06B6"/>
    <w:rsid w:val="004E1514"/>
    <w:rsid w:val="004F3170"/>
    <w:rsid w:val="004F6ED7"/>
    <w:rsid w:val="00520CE3"/>
    <w:rsid w:val="00524A5D"/>
    <w:rsid w:val="00526502"/>
    <w:rsid w:val="005328F6"/>
    <w:rsid w:val="00534613"/>
    <w:rsid w:val="00541F83"/>
    <w:rsid w:val="00542827"/>
    <w:rsid w:val="0054702D"/>
    <w:rsid w:val="00553F98"/>
    <w:rsid w:val="005547CF"/>
    <w:rsid w:val="00576096"/>
    <w:rsid w:val="00585089"/>
    <w:rsid w:val="00592120"/>
    <w:rsid w:val="00596497"/>
    <w:rsid w:val="005A279D"/>
    <w:rsid w:val="005A4B3C"/>
    <w:rsid w:val="005A4C46"/>
    <w:rsid w:val="005B019C"/>
    <w:rsid w:val="005B4B04"/>
    <w:rsid w:val="005B5785"/>
    <w:rsid w:val="005B735A"/>
    <w:rsid w:val="005B7859"/>
    <w:rsid w:val="005C452C"/>
    <w:rsid w:val="005D3F6C"/>
    <w:rsid w:val="005D5C15"/>
    <w:rsid w:val="005F19E4"/>
    <w:rsid w:val="00612657"/>
    <w:rsid w:val="00614699"/>
    <w:rsid w:val="00617643"/>
    <w:rsid w:val="0062179E"/>
    <w:rsid w:val="00626641"/>
    <w:rsid w:val="00651AF7"/>
    <w:rsid w:val="006619CD"/>
    <w:rsid w:val="00667A8E"/>
    <w:rsid w:val="00676877"/>
    <w:rsid w:val="0068283E"/>
    <w:rsid w:val="006A5D43"/>
    <w:rsid w:val="006B2AF5"/>
    <w:rsid w:val="006C531D"/>
    <w:rsid w:val="006D0273"/>
    <w:rsid w:val="006D616F"/>
    <w:rsid w:val="006E1387"/>
    <w:rsid w:val="006E4386"/>
    <w:rsid w:val="006F04E6"/>
    <w:rsid w:val="006F413D"/>
    <w:rsid w:val="00706B97"/>
    <w:rsid w:val="007217D3"/>
    <w:rsid w:val="007315DE"/>
    <w:rsid w:val="00736F9D"/>
    <w:rsid w:val="007711E7"/>
    <w:rsid w:val="00791B5D"/>
    <w:rsid w:val="00794B26"/>
    <w:rsid w:val="00795D3B"/>
    <w:rsid w:val="00796A37"/>
    <w:rsid w:val="00797956"/>
    <w:rsid w:val="007C3250"/>
    <w:rsid w:val="007C3522"/>
    <w:rsid w:val="007D52F0"/>
    <w:rsid w:val="007D69E6"/>
    <w:rsid w:val="007E6753"/>
    <w:rsid w:val="007F4006"/>
    <w:rsid w:val="00804837"/>
    <w:rsid w:val="008328A5"/>
    <w:rsid w:val="00833526"/>
    <w:rsid w:val="00834070"/>
    <w:rsid w:val="00860681"/>
    <w:rsid w:val="008755D2"/>
    <w:rsid w:val="00875CB8"/>
    <w:rsid w:val="008862A0"/>
    <w:rsid w:val="00890C22"/>
    <w:rsid w:val="008A6426"/>
    <w:rsid w:val="008C06B7"/>
    <w:rsid w:val="008C5938"/>
    <w:rsid w:val="008E0D8C"/>
    <w:rsid w:val="008F5408"/>
    <w:rsid w:val="0092129A"/>
    <w:rsid w:val="00950E61"/>
    <w:rsid w:val="00956B67"/>
    <w:rsid w:val="00960AD2"/>
    <w:rsid w:val="009678A9"/>
    <w:rsid w:val="00990326"/>
    <w:rsid w:val="009912A2"/>
    <w:rsid w:val="00992C1D"/>
    <w:rsid w:val="009A047A"/>
    <w:rsid w:val="009A2D00"/>
    <w:rsid w:val="009A3A58"/>
    <w:rsid w:val="009A3FEF"/>
    <w:rsid w:val="009A65E8"/>
    <w:rsid w:val="009B344E"/>
    <w:rsid w:val="009C0778"/>
    <w:rsid w:val="009C178C"/>
    <w:rsid w:val="009C4CEA"/>
    <w:rsid w:val="009C7797"/>
    <w:rsid w:val="009D1E14"/>
    <w:rsid w:val="009E1139"/>
    <w:rsid w:val="009E58A5"/>
    <w:rsid w:val="00A04EC0"/>
    <w:rsid w:val="00A06FCA"/>
    <w:rsid w:val="00A112B9"/>
    <w:rsid w:val="00A1291A"/>
    <w:rsid w:val="00A13F54"/>
    <w:rsid w:val="00A1411E"/>
    <w:rsid w:val="00A339ED"/>
    <w:rsid w:val="00A41BC8"/>
    <w:rsid w:val="00A44051"/>
    <w:rsid w:val="00A449BD"/>
    <w:rsid w:val="00A60F54"/>
    <w:rsid w:val="00A628DC"/>
    <w:rsid w:val="00A70950"/>
    <w:rsid w:val="00A77696"/>
    <w:rsid w:val="00A866CB"/>
    <w:rsid w:val="00AC0CAE"/>
    <w:rsid w:val="00AC6DA2"/>
    <w:rsid w:val="00B227DE"/>
    <w:rsid w:val="00B23B9E"/>
    <w:rsid w:val="00B406C0"/>
    <w:rsid w:val="00B45B38"/>
    <w:rsid w:val="00B477CC"/>
    <w:rsid w:val="00B5102B"/>
    <w:rsid w:val="00B550D2"/>
    <w:rsid w:val="00B57608"/>
    <w:rsid w:val="00B66655"/>
    <w:rsid w:val="00B729D8"/>
    <w:rsid w:val="00B80E32"/>
    <w:rsid w:val="00BA4840"/>
    <w:rsid w:val="00BA688F"/>
    <w:rsid w:val="00BB2523"/>
    <w:rsid w:val="00BC743F"/>
    <w:rsid w:val="00BD0D6C"/>
    <w:rsid w:val="00BE30A5"/>
    <w:rsid w:val="00C061AB"/>
    <w:rsid w:val="00C23EE1"/>
    <w:rsid w:val="00C24C4A"/>
    <w:rsid w:val="00C27F1A"/>
    <w:rsid w:val="00C50103"/>
    <w:rsid w:val="00C6685B"/>
    <w:rsid w:val="00C7143A"/>
    <w:rsid w:val="00C7353C"/>
    <w:rsid w:val="00C7620C"/>
    <w:rsid w:val="00C83C6D"/>
    <w:rsid w:val="00C879F6"/>
    <w:rsid w:val="00C91D8D"/>
    <w:rsid w:val="00C92C29"/>
    <w:rsid w:val="00C9407D"/>
    <w:rsid w:val="00CA033B"/>
    <w:rsid w:val="00CB2ECF"/>
    <w:rsid w:val="00CD2A7E"/>
    <w:rsid w:val="00CD54C3"/>
    <w:rsid w:val="00CE345C"/>
    <w:rsid w:val="00CF30A5"/>
    <w:rsid w:val="00D126C6"/>
    <w:rsid w:val="00D200DE"/>
    <w:rsid w:val="00D239B7"/>
    <w:rsid w:val="00D24926"/>
    <w:rsid w:val="00D257AA"/>
    <w:rsid w:val="00D26B62"/>
    <w:rsid w:val="00D302F3"/>
    <w:rsid w:val="00D5596E"/>
    <w:rsid w:val="00D83ABE"/>
    <w:rsid w:val="00D93B15"/>
    <w:rsid w:val="00DA54BD"/>
    <w:rsid w:val="00DB2EA3"/>
    <w:rsid w:val="00DB61C2"/>
    <w:rsid w:val="00DB705A"/>
    <w:rsid w:val="00DD2228"/>
    <w:rsid w:val="00DE704D"/>
    <w:rsid w:val="00DF2D9D"/>
    <w:rsid w:val="00DF5D9F"/>
    <w:rsid w:val="00E12FB1"/>
    <w:rsid w:val="00E1519C"/>
    <w:rsid w:val="00E30370"/>
    <w:rsid w:val="00E53A4C"/>
    <w:rsid w:val="00E572F4"/>
    <w:rsid w:val="00E63E9A"/>
    <w:rsid w:val="00E63FD8"/>
    <w:rsid w:val="00E66E0B"/>
    <w:rsid w:val="00E72BE9"/>
    <w:rsid w:val="00E732A9"/>
    <w:rsid w:val="00E776BC"/>
    <w:rsid w:val="00E86344"/>
    <w:rsid w:val="00E951D2"/>
    <w:rsid w:val="00EE0345"/>
    <w:rsid w:val="00EE5B4C"/>
    <w:rsid w:val="00F10D2E"/>
    <w:rsid w:val="00F163D6"/>
    <w:rsid w:val="00F613F1"/>
    <w:rsid w:val="00F65DE6"/>
    <w:rsid w:val="00F66172"/>
    <w:rsid w:val="00F776C2"/>
    <w:rsid w:val="00F93028"/>
    <w:rsid w:val="00F95A07"/>
    <w:rsid w:val="00F9747B"/>
    <w:rsid w:val="00FC3AC1"/>
    <w:rsid w:val="00FC4CFE"/>
    <w:rsid w:val="00FC77AA"/>
    <w:rsid w:val="00FD1099"/>
    <w:rsid w:val="00FE13B0"/>
    <w:rsid w:val="00FE3F49"/>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F6D56D"/>
  <w15:docId w15:val="{E52A3ABC-AB2D-4310-9A65-9FE42D5D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19C"/>
    <w:pPr>
      <w:spacing w:after="120"/>
    </w:pPr>
    <w:rPr>
      <w:rFonts w:ascii="Arial" w:hAnsi="Arial"/>
      <w:sz w:val="22"/>
      <w:lang w:eastAsia="en-US"/>
    </w:rPr>
  </w:style>
  <w:style w:type="paragraph" w:styleId="Heading1">
    <w:name w:val="heading 1"/>
    <w:basedOn w:val="Normal"/>
    <w:next w:val="Normal"/>
    <w:link w:val="Heading1Char"/>
    <w:autoRedefine/>
    <w:qFormat/>
    <w:rsid w:val="000012D7"/>
    <w:pPr>
      <w:keepNext/>
      <w:numPr>
        <w:numId w:val="2"/>
      </w:numPr>
      <w:spacing w:before="240"/>
      <w:jc w:val="both"/>
      <w:outlineLvl w:val="0"/>
    </w:pPr>
    <w:rPr>
      <w:rFonts w:cs="Arial"/>
      <w:b/>
      <w:szCs w:val="22"/>
      <w:lang w:val="en-US"/>
    </w:rPr>
  </w:style>
  <w:style w:type="paragraph" w:styleId="Heading2">
    <w:name w:val="heading 2"/>
    <w:basedOn w:val="Normal"/>
    <w:next w:val="Normal"/>
    <w:link w:val="Heading2Char"/>
    <w:autoRedefine/>
    <w:qFormat/>
    <w:rsid w:val="00302063"/>
    <w:pPr>
      <w:keepNext/>
      <w:numPr>
        <w:ilvl w:val="1"/>
        <w:numId w:val="2"/>
      </w:numPr>
      <w:spacing w:before="120" w:after="60"/>
      <w:outlineLvl w:val="1"/>
    </w:pPr>
    <w:rPr>
      <w:rFonts w:cs="Arial"/>
      <w:szCs w:val="22"/>
    </w:rPr>
  </w:style>
  <w:style w:type="paragraph" w:styleId="Heading3">
    <w:name w:val="heading 3"/>
    <w:basedOn w:val="Normal"/>
    <w:next w:val="Normal"/>
    <w:autoRedefine/>
    <w:qFormat/>
    <w:rsid w:val="00F613F1"/>
    <w:pPr>
      <w:keepNext/>
      <w:numPr>
        <w:ilvl w:val="2"/>
        <w:numId w:val="2"/>
      </w:numPr>
      <w:spacing w:before="120" w:after="60"/>
      <w:outlineLvl w:val="2"/>
    </w:pPr>
    <w:rPr>
      <w:szCs w:val="22"/>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keepNext/>
      <w:shd w:val="pct5" w:color="auto" w:fill="FFFFFF"/>
      <w:tabs>
        <w:tab w:val="center" w:pos="4513"/>
      </w:tabs>
      <w:suppressAutoHyphens/>
      <w:spacing w:before="240"/>
      <w:outlineLvl w:val="4"/>
    </w:pPr>
    <w:rPr>
      <w:caps/>
    </w:rPr>
  </w:style>
  <w:style w:type="paragraph" w:styleId="Heading6">
    <w:name w:val="heading 6"/>
    <w:basedOn w:val="Normal"/>
    <w:next w:val="Normal"/>
    <w:qFormat/>
    <w:pPr>
      <w:keepNext/>
      <w:numPr>
        <w:ilvl w:val="5"/>
        <w:numId w:val="2"/>
      </w:numPr>
      <w:jc w:val="center"/>
      <w:outlineLvl w:val="5"/>
    </w:pPr>
    <w:rPr>
      <w:sz w:val="44"/>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pPr>
      <w:jc w:val="both"/>
    </w:pPr>
    <w:rPr>
      <w:lang w:val="en-US"/>
    </w:rPr>
  </w:style>
  <w:style w:type="character" w:styleId="EndnoteReference">
    <w:name w:val="endnote reference"/>
    <w:semiHidden/>
    <w:rPr>
      <w:rFonts w:ascii="Times New Roman" w:hAnsi="Times New Roman"/>
      <w:sz w:val="18"/>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style>
  <w:style w:type="paragraph" w:customStyle="1" w:styleId="Introduction">
    <w:name w:val="Introduction"/>
    <w:basedOn w:val="Normal"/>
    <w:pPr>
      <w:widowControl w:val="0"/>
    </w:pPr>
    <w:rPr>
      <w:i/>
    </w:rPr>
  </w:style>
  <w:style w:type="paragraph" w:customStyle="1" w:styleId="NOTES">
    <w:name w:val="NOTES"/>
    <w:basedOn w:val="Normal"/>
    <w:pPr>
      <w:widowControl w:val="0"/>
      <w:ind w:left="357" w:hanging="357"/>
    </w:pPr>
  </w:style>
  <w:style w:type="paragraph" w:customStyle="1" w:styleId="References">
    <w:name w:val="References"/>
    <w:basedOn w:val="Normal"/>
    <w:pPr>
      <w:widowControl w:val="0"/>
      <w:numPr>
        <w:numId w:val="1"/>
      </w:numPr>
    </w:pPr>
    <w:rPr>
      <w:sz w:val="18"/>
    </w:rPr>
  </w:style>
  <w:style w:type="paragraph" w:customStyle="1" w:styleId="Clause">
    <w:name w:val="Clause"/>
    <w:basedOn w:val="Normal"/>
    <w:pPr>
      <w:widowControl w:val="0"/>
      <w:spacing w:before="240"/>
      <w:ind w:left="576" w:hanging="576"/>
      <w:jc w:val="both"/>
    </w:pPr>
    <w:rPr>
      <w:lang w:val="en-US"/>
    </w:rPr>
  </w:style>
  <w:style w:type="paragraph" w:customStyle="1" w:styleId="Subclause">
    <w:name w:val="Subclause"/>
    <w:basedOn w:val="Normal"/>
    <w:pPr>
      <w:widowControl w:val="0"/>
      <w:spacing w:after="60"/>
      <w:ind w:left="979" w:hanging="259"/>
      <w:jc w:val="both"/>
    </w:pPr>
    <w:rPr>
      <w:lang w:val="en-US"/>
    </w:rPr>
  </w:style>
  <w:style w:type="paragraph" w:customStyle="1" w:styleId="Standardheading">
    <w:name w:val="Standard heading"/>
    <w:basedOn w:val="Normal"/>
    <w:rPr>
      <w:b/>
      <w:sz w:val="24"/>
    </w:rPr>
  </w:style>
  <w:style w:type="paragraph" w:styleId="BlockText">
    <w:name w:val="Block Text"/>
    <w:basedOn w:val="Normal"/>
    <w:pPr>
      <w:pBdr>
        <w:top w:val="single" w:sz="6" w:space="12" w:color="auto"/>
        <w:left w:val="single" w:sz="6" w:space="31" w:color="auto"/>
        <w:bottom w:val="single" w:sz="6" w:space="12" w:color="auto"/>
        <w:right w:val="single" w:sz="6" w:space="31" w:color="auto"/>
      </w:pBdr>
      <w:tabs>
        <w:tab w:val="left" w:pos="-720"/>
      </w:tabs>
      <w:suppressAutoHyphens/>
      <w:ind w:left="2160" w:right="1826"/>
      <w:jc w:val="center"/>
    </w:pPr>
    <w:rPr>
      <w:spacing w:val="-2"/>
      <w:sz w:val="18"/>
    </w:rPr>
  </w:style>
  <w:style w:type="paragraph" w:styleId="TOC1">
    <w:name w:val="toc 1"/>
    <w:basedOn w:val="Normal"/>
    <w:next w:val="Normal"/>
    <w:autoRedefine/>
    <w:uiPriority w:val="39"/>
    <w:rsid w:val="00B550D2"/>
    <w:pPr>
      <w:spacing w:before="240"/>
    </w:pPr>
    <w:rPr>
      <w:b/>
      <w:bCs/>
    </w:rPr>
  </w:style>
  <w:style w:type="paragraph" w:styleId="TOC2">
    <w:name w:val="toc 2"/>
    <w:basedOn w:val="Normal"/>
    <w:next w:val="Normal"/>
    <w:autoRedefine/>
    <w:semiHidden/>
    <w:pPr>
      <w:spacing w:before="120" w:after="0"/>
      <w:ind w:left="220"/>
    </w:pPr>
    <w:rPr>
      <w:rFonts w:ascii="Times New Roman" w:hAnsi="Times New Roman"/>
      <w:i/>
      <w:iCs/>
      <w:sz w:val="20"/>
    </w:rPr>
  </w:style>
  <w:style w:type="paragraph" w:styleId="TOC3">
    <w:name w:val="toc 3"/>
    <w:basedOn w:val="Normal"/>
    <w:next w:val="Normal"/>
    <w:autoRedefine/>
    <w:semiHidden/>
    <w:pPr>
      <w:spacing w:after="0"/>
      <w:ind w:left="440"/>
    </w:pPr>
    <w:rPr>
      <w:rFonts w:ascii="Times New Roman" w:hAnsi="Times New Roman"/>
      <w:sz w:val="20"/>
    </w:rPr>
  </w:style>
  <w:style w:type="paragraph" w:styleId="TOC4">
    <w:name w:val="toc 4"/>
    <w:basedOn w:val="Normal"/>
    <w:next w:val="Normal"/>
    <w:autoRedefine/>
    <w:semiHidden/>
    <w:pPr>
      <w:spacing w:after="0"/>
      <w:ind w:left="660"/>
    </w:pPr>
    <w:rPr>
      <w:rFonts w:ascii="Times New Roman" w:hAnsi="Times New Roman"/>
      <w:sz w:val="20"/>
    </w:rPr>
  </w:style>
  <w:style w:type="paragraph" w:styleId="TOC5">
    <w:name w:val="toc 5"/>
    <w:basedOn w:val="Normal"/>
    <w:next w:val="Normal"/>
    <w:autoRedefine/>
    <w:semiHidden/>
    <w:pPr>
      <w:spacing w:after="0"/>
      <w:ind w:left="880"/>
    </w:pPr>
    <w:rPr>
      <w:rFonts w:ascii="Times New Roman" w:hAnsi="Times New Roman"/>
      <w:sz w:val="20"/>
    </w:rPr>
  </w:style>
  <w:style w:type="paragraph" w:styleId="TOC6">
    <w:name w:val="toc 6"/>
    <w:basedOn w:val="Normal"/>
    <w:next w:val="Normal"/>
    <w:autoRedefine/>
    <w:semiHidden/>
    <w:pPr>
      <w:spacing w:after="0"/>
      <w:ind w:left="1100"/>
    </w:pPr>
    <w:rPr>
      <w:rFonts w:ascii="Times New Roman" w:hAnsi="Times New Roman"/>
      <w:sz w:val="20"/>
    </w:rPr>
  </w:style>
  <w:style w:type="paragraph" w:styleId="TOC7">
    <w:name w:val="toc 7"/>
    <w:basedOn w:val="Normal"/>
    <w:next w:val="Normal"/>
    <w:autoRedefine/>
    <w:semiHidden/>
    <w:pPr>
      <w:spacing w:after="0"/>
      <w:ind w:left="1320"/>
    </w:pPr>
    <w:rPr>
      <w:rFonts w:ascii="Times New Roman" w:hAnsi="Times New Roman"/>
      <w:sz w:val="20"/>
    </w:rPr>
  </w:style>
  <w:style w:type="paragraph" w:styleId="TOC8">
    <w:name w:val="toc 8"/>
    <w:basedOn w:val="Normal"/>
    <w:next w:val="Normal"/>
    <w:autoRedefine/>
    <w:semiHidden/>
    <w:pPr>
      <w:spacing w:after="0"/>
      <w:ind w:left="1540"/>
    </w:pPr>
    <w:rPr>
      <w:rFonts w:ascii="Times New Roman" w:hAnsi="Times New Roman"/>
      <w:sz w:val="20"/>
    </w:rPr>
  </w:style>
  <w:style w:type="paragraph" w:styleId="TOC9">
    <w:name w:val="toc 9"/>
    <w:basedOn w:val="Normal"/>
    <w:next w:val="Normal"/>
    <w:autoRedefine/>
    <w:semiHidden/>
    <w:pPr>
      <w:spacing w:after="0"/>
      <w:ind w:left="17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widowControl w:val="0"/>
      <w:numPr>
        <w:numId w:val="3"/>
      </w:numPr>
      <w:tabs>
        <w:tab w:val="left" w:pos="1080"/>
      </w:tabs>
      <w:autoSpaceDE w:val="0"/>
      <w:autoSpaceDN w:val="0"/>
      <w:spacing w:after="60"/>
      <w:jc w:val="both"/>
    </w:pPr>
    <w:rPr>
      <w:b/>
      <w:lang w:val="en-US"/>
    </w:rPr>
  </w:style>
  <w:style w:type="character" w:styleId="Hyperlink">
    <w:name w:val="Hyperlink"/>
    <w:uiPriority w:val="99"/>
    <w:rPr>
      <w:color w:val="0000FF"/>
      <w:u w:val="single"/>
    </w:rPr>
  </w:style>
  <w:style w:type="paragraph" w:customStyle="1" w:styleId="FigHead">
    <w:name w:val="FigHead"/>
    <w:basedOn w:val="Normal"/>
    <w:pPr>
      <w:tabs>
        <w:tab w:val="left" w:pos="1260"/>
      </w:tabs>
      <w:ind w:left="1267" w:hanging="1267"/>
    </w:pPr>
    <w:rPr>
      <w:b/>
    </w:rPr>
  </w:style>
  <w:style w:type="paragraph" w:customStyle="1" w:styleId="CHead2">
    <w:name w:val="CHead2"/>
    <w:basedOn w:val="Heading3"/>
    <w:pPr>
      <w:numPr>
        <w:ilvl w:val="0"/>
        <w:numId w:val="0"/>
      </w:numPr>
      <w:outlineLvl w:val="9"/>
    </w:pPr>
    <w:rPr>
      <w:rFonts w:ascii="Times New Roman" w:hAnsi="Times New Roman"/>
      <w:caps/>
      <w:sz w:val="30"/>
    </w:rPr>
  </w:style>
  <w:style w:type="paragraph" w:customStyle="1" w:styleId="CHead3">
    <w:name w:val="CHead3"/>
    <w:basedOn w:val="Heading3"/>
    <w:pPr>
      <w:numPr>
        <w:ilvl w:val="0"/>
        <w:numId w:val="0"/>
      </w:numPr>
      <w:outlineLvl w:val="9"/>
    </w:pPr>
    <w:rPr>
      <w:rFonts w:ascii="Times New Roman" w:hAnsi="Times New Roman"/>
      <w:caps/>
    </w:rPr>
  </w:style>
  <w:style w:type="paragraph" w:styleId="BodyTextIndent">
    <w:name w:val="Body Text Indent"/>
    <w:basedOn w:val="Normal"/>
    <w:pPr>
      <w:spacing w:before="120" w:line="360" w:lineRule="auto"/>
      <w:ind w:left="720"/>
    </w:pPr>
    <w:rPr>
      <w:lang w:val="en-US"/>
    </w:rPr>
  </w:style>
  <w:style w:type="paragraph" w:styleId="Title">
    <w:name w:val="Title"/>
    <w:basedOn w:val="Normal"/>
    <w:qFormat/>
    <w:pPr>
      <w:spacing w:after="240"/>
      <w:ind w:left="170" w:right="170"/>
      <w:jc w:val="center"/>
    </w:pPr>
    <w:rPr>
      <w:b/>
      <w:color w:val="000000"/>
      <w:sz w:val="28"/>
    </w:rPr>
  </w:style>
  <w:style w:type="paragraph" w:customStyle="1" w:styleId="GBNormal">
    <w:name w:val="GB Normal"/>
    <w:basedOn w:val="Normal"/>
    <w:autoRedefine/>
    <w:pPr>
      <w:numPr>
        <w:numId w:val="4"/>
      </w:numPr>
      <w:tabs>
        <w:tab w:val="clear" w:pos="644"/>
        <w:tab w:val="num" w:pos="525"/>
      </w:tabs>
      <w:spacing w:after="0"/>
      <w:ind w:left="525" w:hanging="525"/>
    </w:pPr>
    <w:rPr>
      <w:rFonts w:ascii="Times New Roman" w:hAnsi="Times New Roman"/>
      <w:spacing w:val="-3"/>
      <w:sz w:val="24"/>
    </w:rPr>
  </w:style>
  <w:style w:type="character" w:customStyle="1" w:styleId="Heading2Char">
    <w:name w:val="Heading 2 Char"/>
    <w:link w:val="Heading2"/>
    <w:rsid w:val="00302063"/>
    <w:rPr>
      <w:rFonts w:ascii="Arial" w:hAnsi="Arial" w:cs="Arial"/>
      <w:sz w:val="22"/>
      <w:szCs w:val="22"/>
      <w:lang w:eastAsia="en-US"/>
    </w:rPr>
  </w:style>
  <w:style w:type="table" w:styleId="TableGrid">
    <w:name w:val="Table Grid"/>
    <w:basedOn w:val="TableNormal"/>
    <w:rsid w:val="000772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519C"/>
    <w:rPr>
      <w:rFonts w:ascii="Arial" w:hAnsi="Arial"/>
      <w:sz w:val="22"/>
      <w:lang w:eastAsia="en-US"/>
    </w:rPr>
  </w:style>
  <w:style w:type="character" w:customStyle="1" w:styleId="BodyTextChar">
    <w:name w:val="Body Text Char"/>
    <w:link w:val="BodyText"/>
    <w:rsid w:val="00E1519C"/>
    <w:rPr>
      <w:rFonts w:ascii="Arial" w:hAnsi="Arial"/>
      <w:sz w:val="22"/>
      <w:lang w:eastAsia="en-US"/>
    </w:rPr>
  </w:style>
  <w:style w:type="paragraph" w:styleId="BalloonText">
    <w:name w:val="Balloon Text"/>
    <w:basedOn w:val="Normal"/>
    <w:link w:val="BalloonTextChar"/>
    <w:rsid w:val="009B344E"/>
    <w:pPr>
      <w:spacing w:after="0"/>
    </w:pPr>
    <w:rPr>
      <w:rFonts w:ascii="Tahoma" w:hAnsi="Tahoma" w:cs="Tahoma"/>
      <w:sz w:val="16"/>
      <w:szCs w:val="16"/>
    </w:rPr>
  </w:style>
  <w:style w:type="character" w:customStyle="1" w:styleId="BalloonTextChar">
    <w:name w:val="Balloon Text Char"/>
    <w:basedOn w:val="DefaultParagraphFont"/>
    <w:link w:val="BalloonText"/>
    <w:rsid w:val="009B344E"/>
    <w:rPr>
      <w:rFonts w:ascii="Tahoma" w:hAnsi="Tahoma" w:cs="Tahoma"/>
      <w:sz w:val="16"/>
      <w:szCs w:val="16"/>
      <w:lang w:eastAsia="en-US"/>
    </w:rPr>
  </w:style>
  <w:style w:type="paragraph" w:styleId="ListParagraph">
    <w:name w:val="List Paragraph"/>
    <w:basedOn w:val="Normal"/>
    <w:uiPriority w:val="34"/>
    <w:qFormat/>
    <w:rsid w:val="009B344E"/>
    <w:pPr>
      <w:ind w:left="720"/>
      <w:contextualSpacing/>
    </w:pPr>
  </w:style>
  <w:style w:type="character" w:customStyle="1" w:styleId="Heading1Char">
    <w:name w:val="Heading 1 Char"/>
    <w:basedOn w:val="DefaultParagraphFont"/>
    <w:link w:val="Heading1"/>
    <w:rsid w:val="00190ABC"/>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FB25-3940-4358-98E0-067A9CE2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2729</Words>
  <Characters>15559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York Teaching Hospitals NHS Foundation Trust</Company>
  <LinksUpToDate>false</LinksUpToDate>
  <CharactersWithSpaces>18252</CharactersWithSpaces>
  <SharedDoc>false</SharedDoc>
  <HLinks>
    <vt:vector size="84" baseType="variant">
      <vt:variant>
        <vt:i4>1376304</vt:i4>
      </vt:variant>
      <vt:variant>
        <vt:i4>80</vt:i4>
      </vt:variant>
      <vt:variant>
        <vt:i4>0</vt:i4>
      </vt:variant>
      <vt:variant>
        <vt:i4>5</vt:i4>
      </vt:variant>
      <vt:variant>
        <vt:lpwstr/>
      </vt:variant>
      <vt:variant>
        <vt:lpwstr>_Toc434316143</vt:lpwstr>
      </vt:variant>
      <vt:variant>
        <vt:i4>1376304</vt:i4>
      </vt:variant>
      <vt:variant>
        <vt:i4>74</vt:i4>
      </vt:variant>
      <vt:variant>
        <vt:i4>0</vt:i4>
      </vt:variant>
      <vt:variant>
        <vt:i4>5</vt:i4>
      </vt:variant>
      <vt:variant>
        <vt:lpwstr/>
      </vt:variant>
      <vt:variant>
        <vt:lpwstr>_Toc434316142</vt:lpwstr>
      </vt:variant>
      <vt:variant>
        <vt:i4>1376304</vt:i4>
      </vt:variant>
      <vt:variant>
        <vt:i4>68</vt:i4>
      </vt:variant>
      <vt:variant>
        <vt:i4>0</vt:i4>
      </vt:variant>
      <vt:variant>
        <vt:i4>5</vt:i4>
      </vt:variant>
      <vt:variant>
        <vt:lpwstr/>
      </vt:variant>
      <vt:variant>
        <vt:lpwstr>_Toc434316141</vt:lpwstr>
      </vt:variant>
      <vt:variant>
        <vt:i4>1376304</vt:i4>
      </vt:variant>
      <vt:variant>
        <vt:i4>62</vt:i4>
      </vt:variant>
      <vt:variant>
        <vt:i4>0</vt:i4>
      </vt:variant>
      <vt:variant>
        <vt:i4>5</vt:i4>
      </vt:variant>
      <vt:variant>
        <vt:lpwstr/>
      </vt:variant>
      <vt:variant>
        <vt:lpwstr>_Toc434316140</vt:lpwstr>
      </vt:variant>
      <vt:variant>
        <vt:i4>1179696</vt:i4>
      </vt:variant>
      <vt:variant>
        <vt:i4>56</vt:i4>
      </vt:variant>
      <vt:variant>
        <vt:i4>0</vt:i4>
      </vt:variant>
      <vt:variant>
        <vt:i4>5</vt:i4>
      </vt:variant>
      <vt:variant>
        <vt:lpwstr/>
      </vt:variant>
      <vt:variant>
        <vt:lpwstr>_Toc434316139</vt:lpwstr>
      </vt:variant>
      <vt:variant>
        <vt:i4>1179696</vt:i4>
      </vt:variant>
      <vt:variant>
        <vt:i4>50</vt:i4>
      </vt:variant>
      <vt:variant>
        <vt:i4>0</vt:i4>
      </vt:variant>
      <vt:variant>
        <vt:i4>5</vt:i4>
      </vt:variant>
      <vt:variant>
        <vt:lpwstr/>
      </vt:variant>
      <vt:variant>
        <vt:lpwstr>_Toc434316138</vt:lpwstr>
      </vt:variant>
      <vt:variant>
        <vt:i4>1179696</vt:i4>
      </vt:variant>
      <vt:variant>
        <vt:i4>44</vt:i4>
      </vt:variant>
      <vt:variant>
        <vt:i4>0</vt:i4>
      </vt:variant>
      <vt:variant>
        <vt:i4>5</vt:i4>
      </vt:variant>
      <vt:variant>
        <vt:lpwstr/>
      </vt:variant>
      <vt:variant>
        <vt:lpwstr>_Toc434316137</vt:lpwstr>
      </vt:variant>
      <vt:variant>
        <vt:i4>1179696</vt:i4>
      </vt:variant>
      <vt:variant>
        <vt:i4>38</vt:i4>
      </vt:variant>
      <vt:variant>
        <vt:i4>0</vt:i4>
      </vt:variant>
      <vt:variant>
        <vt:i4>5</vt:i4>
      </vt:variant>
      <vt:variant>
        <vt:lpwstr/>
      </vt:variant>
      <vt:variant>
        <vt:lpwstr>_Toc434316136</vt:lpwstr>
      </vt:variant>
      <vt:variant>
        <vt:i4>1179696</vt:i4>
      </vt:variant>
      <vt:variant>
        <vt:i4>32</vt:i4>
      </vt:variant>
      <vt:variant>
        <vt:i4>0</vt:i4>
      </vt:variant>
      <vt:variant>
        <vt:i4>5</vt:i4>
      </vt:variant>
      <vt:variant>
        <vt:lpwstr/>
      </vt:variant>
      <vt:variant>
        <vt:lpwstr>_Toc434316135</vt:lpwstr>
      </vt:variant>
      <vt:variant>
        <vt:i4>1179696</vt:i4>
      </vt:variant>
      <vt:variant>
        <vt:i4>26</vt:i4>
      </vt:variant>
      <vt:variant>
        <vt:i4>0</vt:i4>
      </vt:variant>
      <vt:variant>
        <vt:i4>5</vt:i4>
      </vt:variant>
      <vt:variant>
        <vt:lpwstr/>
      </vt:variant>
      <vt:variant>
        <vt:lpwstr>_Toc434316134</vt:lpwstr>
      </vt:variant>
      <vt:variant>
        <vt:i4>1179696</vt:i4>
      </vt:variant>
      <vt:variant>
        <vt:i4>20</vt:i4>
      </vt:variant>
      <vt:variant>
        <vt:i4>0</vt:i4>
      </vt:variant>
      <vt:variant>
        <vt:i4>5</vt:i4>
      </vt:variant>
      <vt:variant>
        <vt:lpwstr/>
      </vt:variant>
      <vt:variant>
        <vt:lpwstr>_Toc434316133</vt:lpwstr>
      </vt:variant>
      <vt:variant>
        <vt:i4>1179696</vt:i4>
      </vt:variant>
      <vt:variant>
        <vt:i4>14</vt:i4>
      </vt:variant>
      <vt:variant>
        <vt:i4>0</vt:i4>
      </vt:variant>
      <vt:variant>
        <vt:i4>5</vt:i4>
      </vt:variant>
      <vt:variant>
        <vt:lpwstr/>
      </vt:variant>
      <vt:variant>
        <vt:lpwstr>_Toc434316132</vt:lpwstr>
      </vt:variant>
      <vt:variant>
        <vt:i4>1179696</vt:i4>
      </vt:variant>
      <vt:variant>
        <vt:i4>8</vt:i4>
      </vt:variant>
      <vt:variant>
        <vt:i4>0</vt:i4>
      </vt:variant>
      <vt:variant>
        <vt:i4>5</vt:i4>
      </vt:variant>
      <vt:variant>
        <vt:lpwstr/>
      </vt:variant>
      <vt:variant>
        <vt:lpwstr>_Toc434316131</vt:lpwstr>
      </vt:variant>
      <vt:variant>
        <vt:i4>1179696</vt:i4>
      </vt:variant>
      <vt:variant>
        <vt:i4>2</vt:i4>
      </vt:variant>
      <vt:variant>
        <vt:i4>0</vt:i4>
      </vt:variant>
      <vt:variant>
        <vt:i4>5</vt:i4>
      </vt:variant>
      <vt:variant>
        <vt:lpwstr/>
      </vt:variant>
      <vt:variant>
        <vt:lpwstr>_Toc434316130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Mr Burnett</dc:creator>
  <cp:lastModifiedBy>FOX, Elizabeth (YORK AND SCARBOROUGH TEACHING HOSPITALS NHS FOUNDATION TRUST)</cp:lastModifiedBy>
  <cp:revision>2</cp:revision>
  <cp:lastPrinted>2014-04-04T14:17:00Z</cp:lastPrinted>
  <dcterms:created xsi:type="dcterms:W3CDTF">2022-08-12T10:11:00Z</dcterms:created>
  <dcterms:modified xsi:type="dcterms:W3CDTF">2022-08-12T10:11:00Z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