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63E4" w14:textId="77777777" w:rsidR="00CA6006" w:rsidRDefault="00CA6006" w:rsidP="00E46670"/>
    <w:p w14:paraId="0173C0C7" w14:textId="77777777" w:rsidR="00A26A6E" w:rsidRDefault="00A26A6E" w:rsidP="00A26A6E">
      <w:pPr>
        <w:jc w:val="center"/>
        <w:rPr>
          <w:sz w:val="28"/>
          <w:szCs w:val="28"/>
        </w:rPr>
      </w:pPr>
      <w:r>
        <w:rPr>
          <w:sz w:val="28"/>
          <w:szCs w:val="28"/>
        </w:rPr>
        <w:t>Guidelines for Thrombophilia Testing</w:t>
      </w:r>
    </w:p>
    <w:p w14:paraId="50B74672" w14:textId="77777777" w:rsidR="00A26A6E" w:rsidRDefault="00A26A6E" w:rsidP="00A26A6E">
      <w:pPr>
        <w:spacing w:after="0"/>
        <w:rPr>
          <w:rFonts w:cs="Arial"/>
          <w:spacing w:val="-3"/>
          <w:sz w:val="24"/>
          <w:szCs w:val="24"/>
          <w:u w:val="single"/>
        </w:rPr>
      </w:pPr>
    </w:p>
    <w:p w14:paraId="22165573" w14:textId="77777777" w:rsidR="00A26A6E" w:rsidRPr="00A26A6E" w:rsidRDefault="00A26A6E" w:rsidP="00A26A6E">
      <w:pPr>
        <w:spacing w:after="0"/>
        <w:rPr>
          <w:rFonts w:cs="Arial"/>
          <w:spacing w:val="-3"/>
          <w:sz w:val="24"/>
          <w:szCs w:val="24"/>
          <w:u w:val="single"/>
        </w:rPr>
      </w:pPr>
      <w:r w:rsidRPr="00A26A6E">
        <w:rPr>
          <w:rFonts w:cs="Arial"/>
          <w:spacing w:val="-3"/>
          <w:sz w:val="24"/>
          <w:szCs w:val="24"/>
          <w:u w:val="single"/>
        </w:rPr>
        <w:t>Indications for Testing</w:t>
      </w:r>
    </w:p>
    <w:p w14:paraId="4DD8E741" w14:textId="77777777" w:rsidR="00A26A6E" w:rsidRPr="00A26A6E" w:rsidRDefault="00A26A6E" w:rsidP="00A26A6E">
      <w:pPr>
        <w:spacing w:after="0"/>
        <w:rPr>
          <w:rFonts w:cs="Arial"/>
          <w:spacing w:val="-3"/>
          <w:sz w:val="16"/>
          <w:szCs w:val="24"/>
        </w:rPr>
      </w:pPr>
    </w:p>
    <w:p w14:paraId="152C9796" w14:textId="77777777" w:rsidR="00A26A6E" w:rsidRPr="00A26A6E" w:rsidRDefault="00A26A6E" w:rsidP="00A26A6E">
      <w:pPr>
        <w:spacing w:after="0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If in doubt please discuss requests for thrombophilia screening with a Consultant Haematologist or Senior BMS.</w:t>
      </w:r>
    </w:p>
    <w:p w14:paraId="6AC00957" w14:textId="77777777" w:rsidR="00A26A6E" w:rsidRPr="00A26A6E" w:rsidRDefault="00A26A6E" w:rsidP="00A26A6E">
      <w:pPr>
        <w:spacing w:after="0"/>
        <w:rPr>
          <w:rFonts w:cs="Arial"/>
          <w:spacing w:val="-3"/>
          <w:sz w:val="16"/>
          <w:szCs w:val="24"/>
        </w:rPr>
      </w:pPr>
    </w:p>
    <w:p w14:paraId="6433431E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Unprovoked venous thrombosis (&lt; 60 years)</w:t>
      </w:r>
    </w:p>
    <w:p w14:paraId="1DA2C10C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Recurrent venous thrombosis</w:t>
      </w:r>
    </w:p>
    <w:p w14:paraId="07D4B976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Unusual site of venous thrombosis e.g. mesenteric vein, axillary vein (not retinal vein occlusion)</w:t>
      </w:r>
    </w:p>
    <w:p w14:paraId="06DB9E04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2</w:t>
      </w:r>
      <w:r w:rsidRPr="00A26A6E">
        <w:rPr>
          <w:rFonts w:cs="Arial"/>
          <w:spacing w:val="-3"/>
          <w:sz w:val="24"/>
          <w:szCs w:val="24"/>
          <w:vertAlign w:val="superscript"/>
        </w:rPr>
        <w:t>nd</w:t>
      </w:r>
      <w:r w:rsidRPr="00A26A6E">
        <w:rPr>
          <w:rFonts w:cs="Arial"/>
          <w:spacing w:val="-3"/>
          <w:sz w:val="24"/>
          <w:szCs w:val="24"/>
        </w:rPr>
        <w:t xml:space="preserve"> &amp; 3</w:t>
      </w:r>
      <w:r w:rsidRPr="00A26A6E">
        <w:rPr>
          <w:rFonts w:cs="Arial"/>
          <w:spacing w:val="-3"/>
          <w:sz w:val="24"/>
          <w:szCs w:val="24"/>
          <w:vertAlign w:val="superscript"/>
        </w:rPr>
        <w:t>rd</w:t>
      </w:r>
      <w:r w:rsidRPr="00A26A6E">
        <w:rPr>
          <w:rFonts w:cs="Arial"/>
          <w:spacing w:val="-3"/>
          <w:sz w:val="24"/>
          <w:szCs w:val="24"/>
        </w:rPr>
        <w:t xml:space="preserve"> trimester miscarriage</w:t>
      </w:r>
    </w:p>
    <w:p w14:paraId="3249B122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Neonates with Purpura Fulminans (Protein C &amp; S urgently)</w:t>
      </w:r>
    </w:p>
    <w:p w14:paraId="501D293C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Skin necrosis on Warfarin</w:t>
      </w:r>
    </w:p>
    <w:p w14:paraId="09C3D25E" w14:textId="77777777" w:rsidR="00A26A6E" w:rsidRPr="00A26A6E" w:rsidRDefault="00A26A6E" w:rsidP="00A26A6E">
      <w:pPr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 xml:space="preserve">Strong family history of venous thrombosis: in most cases extensive screening is </w:t>
      </w:r>
      <w:r w:rsidRPr="00A26A6E">
        <w:rPr>
          <w:rFonts w:cs="Arial"/>
          <w:spacing w:val="-3"/>
          <w:sz w:val="24"/>
          <w:szCs w:val="24"/>
          <w:u w:val="single"/>
        </w:rPr>
        <w:t>not useful,</w:t>
      </w:r>
      <w:r w:rsidRPr="00A26A6E">
        <w:rPr>
          <w:rFonts w:cs="Arial"/>
          <w:spacing w:val="-3"/>
          <w:sz w:val="24"/>
          <w:szCs w:val="24"/>
        </w:rPr>
        <w:t xml:space="preserve"> unless a thrombophilic abnormality has been identified in the family</w:t>
      </w:r>
    </w:p>
    <w:p w14:paraId="386A2562" w14:textId="77777777" w:rsidR="00A26A6E" w:rsidRPr="00A26A6E" w:rsidRDefault="00A26A6E" w:rsidP="00A26A6E">
      <w:pPr>
        <w:spacing w:after="0"/>
        <w:rPr>
          <w:rFonts w:cs="Arial"/>
          <w:spacing w:val="-3"/>
          <w:szCs w:val="24"/>
        </w:rPr>
      </w:pPr>
    </w:p>
    <w:p w14:paraId="5B28F425" w14:textId="77777777" w:rsidR="00A26A6E" w:rsidRPr="00A26A6E" w:rsidRDefault="00A26A6E" w:rsidP="00A26A6E">
      <w:pPr>
        <w:spacing w:after="0"/>
        <w:rPr>
          <w:rFonts w:cs="Arial"/>
          <w:spacing w:val="-3"/>
          <w:sz w:val="24"/>
          <w:szCs w:val="24"/>
          <w:u w:val="single"/>
        </w:rPr>
      </w:pPr>
      <w:r w:rsidRPr="00A26A6E">
        <w:rPr>
          <w:rFonts w:cs="Arial"/>
          <w:spacing w:val="-3"/>
          <w:sz w:val="24"/>
          <w:szCs w:val="24"/>
          <w:u w:val="single"/>
        </w:rPr>
        <w:t>When to test?</w:t>
      </w:r>
    </w:p>
    <w:p w14:paraId="4D2B1D96" w14:textId="77777777" w:rsidR="00A26A6E" w:rsidRPr="00A26A6E" w:rsidRDefault="00A26A6E" w:rsidP="00A26A6E">
      <w:pPr>
        <w:spacing w:after="0"/>
        <w:rPr>
          <w:rFonts w:cs="Arial"/>
          <w:spacing w:val="-3"/>
          <w:sz w:val="16"/>
          <w:szCs w:val="24"/>
        </w:rPr>
      </w:pPr>
    </w:p>
    <w:p w14:paraId="0A1ADDC9" w14:textId="77777777" w:rsidR="00A26A6E" w:rsidRPr="00A26A6E" w:rsidRDefault="00A26A6E" w:rsidP="00A26A6E">
      <w:pPr>
        <w:numPr>
          <w:ilvl w:val="0"/>
          <w:numId w:val="4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Avoid testing in the acute post-thrombotic period - delay testing for 4 weeks</w:t>
      </w:r>
    </w:p>
    <w:p w14:paraId="43BB16C6" w14:textId="77777777" w:rsidR="00A26A6E" w:rsidRPr="00A26A6E" w:rsidRDefault="00A26A6E" w:rsidP="00A26A6E">
      <w:pPr>
        <w:numPr>
          <w:ilvl w:val="0"/>
          <w:numId w:val="4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Wherever possible avoid testing while on anticoagulant drugs (Warfarin, UFH, DOAC) -delay testing for 4 weeks after last dose</w:t>
      </w:r>
    </w:p>
    <w:p w14:paraId="7B6590F4" w14:textId="77777777" w:rsidR="00A26A6E" w:rsidRPr="00A26A6E" w:rsidRDefault="00A26A6E" w:rsidP="00A26A6E">
      <w:pPr>
        <w:numPr>
          <w:ilvl w:val="0"/>
          <w:numId w:val="4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Avoid testing during pregnancy or during the post-natal period - delay testing for 2 months</w:t>
      </w:r>
    </w:p>
    <w:p w14:paraId="0276D77B" w14:textId="77777777" w:rsidR="00A26A6E" w:rsidRPr="00A26A6E" w:rsidRDefault="00A26A6E" w:rsidP="00A26A6E">
      <w:pPr>
        <w:spacing w:after="0"/>
        <w:rPr>
          <w:rFonts w:cs="Arial"/>
          <w:spacing w:val="-3"/>
          <w:szCs w:val="24"/>
        </w:rPr>
      </w:pPr>
    </w:p>
    <w:p w14:paraId="24354075" w14:textId="77777777" w:rsidR="00A26A6E" w:rsidRPr="00A26A6E" w:rsidRDefault="00A26A6E" w:rsidP="00A26A6E">
      <w:pPr>
        <w:spacing w:after="0"/>
        <w:rPr>
          <w:rFonts w:cs="Arial"/>
          <w:spacing w:val="-3"/>
          <w:sz w:val="24"/>
          <w:szCs w:val="24"/>
          <w:u w:val="single"/>
        </w:rPr>
      </w:pPr>
      <w:r w:rsidRPr="00A26A6E">
        <w:rPr>
          <w:rFonts w:cs="Arial"/>
          <w:spacing w:val="-3"/>
          <w:sz w:val="24"/>
          <w:szCs w:val="24"/>
          <w:u w:val="single"/>
        </w:rPr>
        <w:t>Laboratory considerations</w:t>
      </w:r>
    </w:p>
    <w:p w14:paraId="29F699E1" w14:textId="77777777" w:rsidR="00A26A6E" w:rsidRPr="00A26A6E" w:rsidRDefault="00A26A6E" w:rsidP="00A26A6E">
      <w:pPr>
        <w:spacing w:after="0"/>
        <w:rPr>
          <w:rFonts w:cs="Arial"/>
          <w:spacing w:val="-3"/>
          <w:sz w:val="16"/>
          <w:szCs w:val="24"/>
        </w:rPr>
      </w:pPr>
    </w:p>
    <w:p w14:paraId="747A2141" w14:textId="77777777" w:rsidR="00A26A6E" w:rsidRPr="00A26A6E" w:rsidRDefault="00A26A6E" w:rsidP="00A26A6E">
      <w:pPr>
        <w:numPr>
          <w:ilvl w:val="0"/>
          <w:numId w:val="5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Repeat any abnormal or borderline test: at least 2 abnormal results before issuing final diagnosis of proven thrombophilia</w:t>
      </w:r>
    </w:p>
    <w:p w14:paraId="0C5AB6A0" w14:textId="77777777" w:rsidR="00A26A6E" w:rsidRPr="00A26A6E" w:rsidRDefault="00A26A6E" w:rsidP="00A26A6E">
      <w:pPr>
        <w:numPr>
          <w:ilvl w:val="0"/>
          <w:numId w:val="5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Consider repeating negative screens in patients with a very suspicious history of familial thrombophilia (e.g. VTE at young age + strong FH) as false negatives are well-recognised</w:t>
      </w:r>
    </w:p>
    <w:p w14:paraId="0F1CBCEB" w14:textId="77777777" w:rsidR="00A26A6E" w:rsidRPr="00A26A6E" w:rsidRDefault="00A26A6E" w:rsidP="00A26A6E">
      <w:pPr>
        <w:numPr>
          <w:ilvl w:val="0"/>
          <w:numId w:val="5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A26A6E">
        <w:rPr>
          <w:rFonts w:cs="Arial"/>
          <w:spacing w:val="-3"/>
          <w:sz w:val="24"/>
          <w:szCs w:val="24"/>
        </w:rPr>
        <w:t>Referrals to a consultant Haematologist or incomplete clinical details: ensure sufficient aliquots of plasma are frozen and retain the primary sample tube(s) for testing if subsequently indicated</w:t>
      </w:r>
    </w:p>
    <w:p w14:paraId="5C883DF7" w14:textId="77777777" w:rsidR="00A26A6E" w:rsidRPr="00A26A6E" w:rsidRDefault="00A26A6E" w:rsidP="00A26A6E">
      <w:pPr>
        <w:spacing w:after="0"/>
        <w:rPr>
          <w:rFonts w:cs="Arial"/>
          <w:spacing w:val="-3"/>
          <w:szCs w:val="24"/>
        </w:rPr>
      </w:pPr>
    </w:p>
    <w:p w14:paraId="71BE0837" w14:textId="77777777" w:rsidR="00A26A6E" w:rsidRPr="00A26A6E" w:rsidRDefault="00A26A6E" w:rsidP="00A26A6E">
      <w:pPr>
        <w:keepNext/>
        <w:numPr>
          <w:ilvl w:val="0"/>
          <w:numId w:val="2"/>
        </w:numPr>
        <w:spacing w:after="0"/>
        <w:ind w:left="0" w:firstLine="0"/>
        <w:jc w:val="both"/>
        <w:outlineLvl w:val="8"/>
        <w:rPr>
          <w:rFonts w:cs="Arial"/>
          <w:spacing w:val="-3"/>
          <w:sz w:val="24"/>
          <w:szCs w:val="24"/>
          <w:u w:val="single"/>
        </w:rPr>
      </w:pPr>
      <w:r w:rsidRPr="00A26A6E">
        <w:rPr>
          <w:rFonts w:cs="Arial"/>
          <w:spacing w:val="-3"/>
          <w:sz w:val="24"/>
          <w:szCs w:val="24"/>
          <w:u w:val="single"/>
        </w:rPr>
        <w:t>Rejected Samples</w:t>
      </w:r>
    </w:p>
    <w:p w14:paraId="224E1DDE" w14:textId="77777777" w:rsidR="00A26A6E" w:rsidRPr="00A26A6E" w:rsidRDefault="00DA16A9" w:rsidP="00A26A6E">
      <w:pPr>
        <w:numPr>
          <w:ilvl w:val="0"/>
          <w:numId w:val="5"/>
        </w:numPr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Request a PROBHA</w:t>
      </w:r>
      <w:r w:rsidR="00A26A6E" w:rsidRPr="00A26A6E">
        <w:rPr>
          <w:rFonts w:cs="Arial"/>
          <w:spacing w:val="-3"/>
          <w:sz w:val="24"/>
          <w:szCs w:val="24"/>
        </w:rPr>
        <w:t xml:space="preserve"> set in Telepath and add the coded comments TBR1 – TBR4, i.e. </w:t>
      </w:r>
    </w:p>
    <w:p w14:paraId="29DC991A" w14:textId="77777777" w:rsidR="00A26A6E" w:rsidRPr="00A26A6E" w:rsidRDefault="00A26A6E" w:rsidP="00A26A6E">
      <w:pPr>
        <w:spacing w:after="0"/>
        <w:rPr>
          <w:rFonts w:cs="Arial"/>
          <w:spacing w:val="-3"/>
          <w:sz w:val="16"/>
          <w:szCs w:val="24"/>
        </w:rPr>
      </w:pPr>
    </w:p>
    <w:p w14:paraId="0EEA50EA" w14:textId="77777777" w:rsidR="00A26A6E" w:rsidRPr="00A26A6E" w:rsidRDefault="00A26A6E" w:rsidP="00A26A6E">
      <w:pPr>
        <w:spacing w:after="0"/>
        <w:ind w:left="142" w:firstLine="180"/>
        <w:jc w:val="both"/>
        <w:rPr>
          <w:rFonts w:cs="Arial"/>
          <w:b/>
          <w:bCs/>
          <w:spacing w:val="-3"/>
          <w:sz w:val="24"/>
        </w:rPr>
      </w:pPr>
      <w:r w:rsidRPr="00A26A6E">
        <w:rPr>
          <w:rFonts w:cs="Arial"/>
          <w:b/>
          <w:bCs/>
          <w:spacing w:val="-3"/>
          <w:sz w:val="24"/>
        </w:rPr>
        <w:t>“Inappropriate for full thrombophilia screen.  Happy to discuss          Dr L Munro”</w:t>
      </w:r>
    </w:p>
    <w:p w14:paraId="4E2EEC03" w14:textId="77777777" w:rsidR="00A26A6E" w:rsidRPr="00A26A6E" w:rsidRDefault="00A26A6E" w:rsidP="00A26A6E">
      <w:pPr>
        <w:spacing w:after="0"/>
        <w:ind w:left="322"/>
        <w:jc w:val="both"/>
        <w:rPr>
          <w:rFonts w:cs="Arial"/>
          <w:b/>
          <w:bCs/>
          <w:spacing w:val="-3"/>
          <w:sz w:val="24"/>
        </w:rPr>
      </w:pPr>
    </w:p>
    <w:p w14:paraId="7921021B" w14:textId="77777777" w:rsidR="00A26A6E" w:rsidRPr="00A26A6E" w:rsidRDefault="00A26A6E" w:rsidP="00A26A6E">
      <w:pPr>
        <w:spacing w:after="0"/>
        <w:ind w:left="322"/>
        <w:jc w:val="both"/>
        <w:rPr>
          <w:rFonts w:cs="Arial"/>
          <w:b/>
          <w:bCs/>
          <w:spacing w:val="-3"/>
          <w:sz w:val="24"/>
        </w:rPr>
      </w:pPr>
      <w:r w:rsidRPr="00A26A6E">
        <w:rPr>
          <w:rFonts w:cs="Arial"/>
          <w:b/>
          <w:bCs/>
          <w:spacing w:val="-3"/>
          <w:sz w:val="24"/>
        </w:rPr>
        <w:t>“Samples will be stored for 6 weeks - please contact lab with full clinical details if testing required”</w:t>
      </w:r>
    </w:p>
    <w:p w14:paraId="025ACFE8" w14:textId="77777777" w:rsidR="00A26A6E" w:rsidRPr="00A26A6E" w:rsidRDefault="00A26A6E" w:rsidP="00A26A6E">
      <w:pPr>
        <w:spacing w:after="0"/>
        <w:ind w:left="322"/>
        <w:jc w:val="both"/>
        <w:rPr>
          <w:rFonts w:cs="Arial"/>
          <w:b/>
          <w:bCs/>
          <w:spacing w:val="-3"/>
          <w:sz w:val="24"/>
        </w:rPr>
      </w:pPr>
    </w:p>
    <w:p w14:paraId="70E6A1C3" w14:textId="77777777" w:rsidR="00A26A6E" w:rsidRPr="00A26A6E" w:rsidRDefault="00A26A6E" w:rsidP="00A26A6E">
      <w:pPr>
        <w:spacing w:after="0"/>
        <w:rPr>
          <w:rFonts w:cs="Arial"/>
          <w:spacing w:val="-3"/>
          <w:sz w:val="24"/>
          <w:szCs w:val="24"/>
          <w:u w:val="single"/>
        </w:rPr>
      </w:pPr>
      <w:r w:rsidRPr="00A26A6E">
        <w:rPr>
          <w:rFonts w:cs="Arial"/>
          <w:spacing w:val="-3"/>
          <w:sz w:val="24"/>
          <w:szCs w:val="24"/>
          <w:u w:val="single"/>
        </w:rPr>
        <w:t>References</w:t>
      </w:r>
    </w:p>
    <w:p w14:paraId="5AD8B5AB" w14:textId="77777777" w:rsidR="00A26A6E" w:rsidRPr="00A26A6E" w:rsidRDefault="00A26A6E" w:rsidP="00A26A6E">
      <w:pPr>
        <w:spacing w:after="0"/>
        <w:rPr>
          <w:rFonts w:cs="Arial"/>
          <w:spacing w:val="-3"/>
          <w:sz w:val="20"/>
        </w:rPr>
      </w:pPr>
      <w:r w:rsidRPr="00A26A6E">
        <w:rPr>
          <w:rFonts w:cs="Arial"/>
          <w:spacing w:val="-3"/>
          <w:sz w:val="20"/>
        </w:rPr>
        <w:t>NICE Guidelines</w:t>
      </w:r>
    </w:p>
    <w:p w14:paraId="46BE4D64" w14:textId="77777777" w:rsidR="00A26A6E" w:rsidRPr="00A26A6E" w:rsidRDefault="00815DD5" w:rsidP="00A26A6E">
      <w:pPr>
        <w:spacing w:after="0"/>
        <w:rPr>
          <w:rFonts w:cs="Arial"/>
          <w:spacing w:val="-3"/>
          <w:sz w:val="20"/>
        </w:rPr>
      </w:pPr>
      <w:hyperlink r:id="rId7" w:history="1">
        <w:r w:rsidR="00A26A6E" w:rsidRPr="00A26A6E">
          <w:rPr>
            <w:rFonts w:cs="Arial"/>
            <w:color w:val="0000FF"/>
            <w:spacing w:val="-3"/>
            <w:sz w:val="20"/>
            <w:u w:val="single"/>
          </w:rPr>
          <w:t>http://www.nice.org.uk/guidance/cg144</w:t>
        </w:r>
      </w:hyperlink>
    </w:p>
    <w:p w14:paraId="0DABE13A" w14:textId="77777777" w:rsidR="00A26A6E" w:rsidRPr="00A26A6E" w:rsidRDefault="00A26A6E" w:rsidP="00A26A6E">
      <w:pPr>
        <w:spacing w:after="0"/>
        <w:rPr>
          <w:rFonts w:cs="Arial"/>
          <w:spacing w:val="-3"/>
          <w:sz w:val="20"/>
        </w:rPr>
      </w:pPr>
      <w:r w:rsidRPr="00A26A6E">
        <w:rPr>
          <w:rFonts w:cs="Arial"/>
          <w:spacing w:val="-3"/>
          <w:sz w:val="20"/>
        </w:rPr>
        <w:t xml:space="preserve">RCOG Clinical Guidelines </w:t>
      </w:r>
    </w:p>
    <w:p w14:paraId="15EC3721" w14:textId="77777777" w:rsidR="00A26A6E" w:rsidRPr="00A26A6E" w:rsidRDefault="00815DD5" w:rsidP="00A26A6E">
      <w:pPr>
        <w:spacing w:after="0"/>
        <w:rPr>
          <w:rFonts w:cs="Arial"/>
          <w:spacing w:val="-3"/>
          <w:sz w:val="20"/>
        </w:rPr>
      </w:pPr>
      <w:hyperlink r:id="rId8" w:history="1">
        <w:r w:rsidR="00A26A6E" w:rsidRPr="00A26A6E">
          <w:rPr>
            <w:rFonts w:cs="Arial"/>
            <w:color w:val="0000FF"/>
            <w:spacing w:val="-3"/>
            <w:sz w:val="20"/>
            <w:u w:val="single"/>
          </w:rPr>
          <w:t>https://www.rcog.org.uk/globalassets/documents/guidelines/gtg_17.pdf</w:t>
        </w:r>
      </w:hyperlink>
    </w:p>
    <w:p w14:paraId="220BA44A" w14:textId="77777777" w:rsidR="00A26A6E" w:rsidRPr="00A26A6E" w:rsidRDefault="00815DD5" w:rsidP="00A26A6E">
      <w:pPr>
        <w:spacing w:after="0"/>
        <w:rPr>
          <w:rFonts w:cs="Arial"/>
          <w:spacing w:val="-3"/>
          <w:sz w:val="20"/>
        </w:rPr>
      </w:pPr>
      <w:hyperlink r:id="rId9" w:history="1">
        <w:r w:rsidR="00A26A6E" w:rsidRPr="00A26A6E">
          <w:rPr>
            <w:rFonts w:cs="Arial"/>
            <w:color w:val="0000FF"/>
            <w:spacing w:val="-3"/>
            <w:sz w:val="20"/>
            <w:u w:val="single"/>
          </w:rPr>
          <w:t>https://www.rcog.org.uk/globalassets/documents/guidelines/gtg-37a.pdf</w:t>
        </w:r>
      </w:hyperlink>
    </w:p>
    <w:p w14:paraId="33AA604F" w14:textId="77777777" w:rsidR="00A26A6E" w:rsidRPr="00A26A6E" w:rsidRDefault="00A26A6E" w:rsidP="00A26A6E">
      <w:pPr>
        <w:spacing w:after="0"/>
        <w:rPr>
          <w:rFonts w:cs="Arial"/>
          <w:spacing w:val="-3"/>
          <w:sz w:val="20"/>
        </w:rPr>
      </w:pPr>
      <w:r w:rsidRPr="00A26A6E">
        <w:rPr>
          <w:rFonts w:cs="Arial"/>
          <w:spacing w:val="-3"/>
          <w:sz w:val="20"/>
        </w:rPr>
        <w:t xml:space="preserve">Clinical Guidelines for Testing for Heritable Thrombophilia (BJH, 2010)       </w:t>
      </w:r>
      <w:hyperlink r:id="rId10" w:history="1">
        <w:r w:rsidRPr="00A26A6E">
          <w:rPr>
            <w:rFonts w:cs="Arial"/>
            <w:color w:val="0000FF"/>
            <w:spacing w:val="-3"/>
            <w:sz w:val="20"/>
            <w:u w:val="single"/>
          </w:rPr>
          <w:t>http://onlinelibrary.wiley.com/doi/10.1111/j.1365-2141.2009.08022.x/pdf</w:t>
        </w:r>
      </w:hyperlink>
    </w:p>
    <w:p w14:paraId="2A3D7DBC" w14:textId="77777777" w:rsidR="00A26A6E" w:rsidRPr="00A26A6E" w:rsidRDefault="00A26A6E" w:rsidP="00A26A6E">
      <w:pPr>
        <w:jc w:val="both"/>
        <w:rPr>
          <w:sz w:val="24"/>
          <w:szCs w:val="24"/>
        </w:rPr>
      </w:pPr>
    </w:p>
    <w:sectPr w:rsidR="00A26A6E" w:rsidRPr="00A26A6E" w:rsidSect="00B70CD0">
      <w:headerReference w:type="default" r:id="rId11"/>
      <w:footerReference w:type="default" r:id="rId12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8447" w14:textId="77777777" w:rsidR="00B55959" w:rsidRDefault="00B55959">
      <w:pPr>
        <w:spacing w:after="0"/>
      </w:pPr>
      <w:r>
        <w:separator/>
      </w:r>
    </w:p>
  </w:endnote>
  <w:endnote w:type="continuationSeparator" w:id="0">
    <w:p w14:paraId="2F725C79" w14:textId="77777777" w:rsidR="00B55959" w:rsidRDefault="00B55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29D9" w14:textId="77777777"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DA16A9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DA16A9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</w:p>
  <w:p w14:paraId="46F05282" w14:textId="77777777" w:rsidR="00EA6A91" w:rsidRDefault="00EA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C9AB" w14:textId="77777777" w:rsidR="00B55959" w:rsidRDefault="00B55959">
      <w:pPr>
        <w:spacing w:after="0"/>
      </w:pPr>
      <w:r>
        <w:separator/>
      </w:r>
    </w:p>
  </w:footnote>
  <w:footnote w:type="continuationSeparator" w:id="0">
    <w:p w14:paraId="5E5EAB23" w14:textId="77777777" w:rsidR="00B55959" w:rsidRDefault="00B55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083" w14:textId="77777777" w:rsidR="00302DE8" w:rsidRPr="00A26A6E" w:rsidRDefault="006E175D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7728" behindDoc="1" locked="0" layoutInCell="1" allowOverlap="1" wp14:anchorId="5186F61B" wp14:editId="419C552E">
          <wp:simplePos x="0" y="0"/>
          <wp:positionH relativeFrom="margin">
            <wp:posOffset>4697095</wp:posOffset>
          </wp:positionH>
          <wp:positionV relativeFrom="margin">
            <wp:posOffset>-733425</wp:posOffset>
          </wp:positionV>
          <wp:extent cx="1863090" cy="643890"/>
          <wp:effectExtent l="0" t="0" r="3810" b="3810"/>
          <wp:wrapTight wrapText="bothSides">
            <wp:wrapPolygon edited="0">
              <wp:start x="0" y="0"/>
              <wp:lineTo x="0" y="21089"/>
              <wp:lineTo x="21423" y="21089"/>
              <wp:lineTo x="21423" y="0"/>
              <wp:lineTo x="0" y="0"/>
            </wp:wrapPolygon>
          </wp:wrapTight>
          <wp:docPr id="5" name="Picture 5" descr="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>Speciality</w:t>
    </w:r>
    <w:r w:rsidR="00864EB7">
      <w:rPr>
        <w:sz w:val="16"/>
        <w:szCs w:val="16"/>
      </w:rPr>
      <w:t>/Department</w:t>
    </w:r>
    <w:r w:rsidR="00CA5304">
      <w:rPr>
        <w:sz w:val="16"/>
        <w:szCs w:val="16"/>
      </w:rPr>
      <w:t xml:space="preserve">: </w:t>
    </w:r>
    <w:r w:rsidR="00302DE8" w:rsidRPr="00945DC7">
      <w:rPr>
        <w:sz w:val="16"/>
        <w:szCs w:val="16"/>
      </w:rPr>
      <w:t>Laboratory Medicine</w:t>
    </w:r>
    <w:r w:rsidR="00864EB7">
      <w:rPr>
        <w:sz w:val="16"/>
        <w:szCs w:val="16"/>
      </w:rPr>
      <w:t xml:space="preserve"> </w:t>
    </w:r>
    <w:r w:rsidR="00864EB7" w:rsidRPr="009F621E">
      <w:rPr>
        <w:rFonts w:cs="Arial"/>
        <w:color w:val="548DD4"/>
        <w:sz w:val="16"/>
        <w:szCs w:val="16"/>
      </w:rPr>
      <w:t xml:space="preserve">– </w:t>
    </w:r>
    <w:r w:rsidR="00A26A6E">
      <w:rPr>
        <w:rFonts w:cs="Arial"/>
        <w:sz w:val="16"/>
        <w:szCs w:val="16"/>
      </w:rPr>
      <w:t>Haematology</w:t>
    </w:r>
  </w:p>
  <w:p w14:paraId="2F46ED4E" w14:textId="77777777" w:rsidR="00302DE8" w:rsidRPr="00945DC7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302DE8" w:rsidRPr="00945DC7">
      <w:rPr>
        <w:rFonts w:cs="Arial"/>
        <w:color w:val="548DD4"/>
        <w:sz w:val="16"/>
        <w:szCs w:val="16"/>
      </w:rPr>
      <w:t xml:space="preserve"> </w:t>
    </w:r>
    <w:r w:rsidR="00A26A6E" w:rsidRPr="00A26A6E">
      <w:rPr>
        <w:rFonts w:cs="Arial"/>
        <w:sz w:val="16"/>
        <w:szCs w:val="16"/>
      </w:rPr>
      <w:t>Q-Pulse</w:t>
    </w:r>
    <w:r w:rsidR="00A26A6E">
      <w:rPr>
        <w:rFonts w:cs="Arial"/>
        <w:sz w:val="16"/>
        <w:szCs w:val="16"/>
      </w:rPr>
      <w:t>, laminated copy next to coagulation PC terminal</w:t>
    </w:r>
  </w:p>
  <w:p w14:paraId="4F0A8966" w14:textId="77777777" w:rsidR="00302DE8" w:rsidRPr="00945DC7" w:rsidRDefault="00B255B9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Filename: </w:t>
    </w:r>
    <w:r w:rsidR="00A26A6E">
      <w:rPr>
        <w:sz w:val="16"/>
        <w:szCs w:val="16"/>
      </w:rPr>
      <w:t>CO-INF-TBPGDLNS</w:t>
    </w:r>
  </w:p>
  <w:p w14:paraId="6245F381" w14:textId="77777777" w:rsidR="00302DE8" w:rsidRPr="00945DC7" w:rsidRDefault="00864EB7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Version: </w:t>
    </w:r>
    <w:r w:rsidR="00DA16A9">
      <w:rPr>
        <w:sz w:val="16"/>
        <w:szCs w:val="16"/>
      </w:rPr>
      <w:t>13</w:t>
    </w:r>
  </w:p>
  <w:p w14:paraId="309B99D2" w14:textId="77777777"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A26A6E">
      <w:rPr>
        <w:sz w:val="16"/>
        <w:szCs w:val="16"/>
      </w:rPr>
      <w:t xml:space="preserve">ue: </w:t>
    </w:r>
    <w:r w:rsidR="00DA16A9">
      <w:rPr>
        <w:sz w:val="16"/>
        <w:szCs w:val="16"/>
      </w:rPr>
      <w:t>February</w:t>
    </w:r>
    <w:r w:rsidR="00CF3567">
      <w:rPr>
        <w:sz w:val="16"/>
        <w:szCs w:val="16"/>
      </w:rPr>
      <w:t xml:space="preserve"> </w:t>
    </w:r>
    <w:r w:rsidR="00864EB7">
      <w:rPr>
        <w:sz w:val="16"/>
        <w:szCs w:val="16"/>
      </w:rPr>
      <w:t>202</w:t>
    </w:r>
    <w:r w:rsidR="00A26A6E">
      <w:rPr>
        <w:sz w:val="16"/>
        <w:szCs w:val="16"/>
      </w:rPr>
      <w:t>1</w:t>
    </w:r>
  </w:p>
  <w:p w14:paraId="5C68CDBA" w14:textId="77777777" w:rsidR="00EA6A91" w:rsidRPr="00945DC7" w:rsidRDefault="00945DC7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Approved by: </w:t>
    </w:r>
    <w:r w:rsidR="00A26A6E">
      <w:rPr>
        <w:sz w:val="16"/>
        <w:szCs w:val="16"/>
      </w:rPr>
      <w:t>Richard Adams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7C9"/>
    <w:multiLevelType w:val="hybridMultilevel"/>
    <w:tmpl w:val="5E0EB7E8"/>
    <w:lvl w:ilvl="0" w:tplc="5B589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BE022E"/>
    <w:multiLevelType w:val="hybridMultilevel"/>
    <w:tmpl w:val="806ADFCA"/>
    <w:lvl w:ilvl="0" w:tplc="5B589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5B00"/>
    <w:multiLevelType w:val="hybridMultilevel"/>
    <w:tmpl w:val="BB702796"/>
    <w:lvl w:ilvl="0" w:tplc="5B589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79B"/>
    <w:multiLevelType w:val="hybridMultilevel"/>
    <w:tmpl w:val="B1BC280A"/>
    <w:lvl w:ilvl="0" w:tplc="5AFE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7831388">
    <w:abstractNumId w:val="1"/>
  </w:num>
  <w:num w:numId="2" w16cid:durableId="417672599">
    <w:abstractNumId w:val="4"/>
  </w:num>
  <w:num w:numId="3" w16cid:durableId="769004780">
    <w:abstractNumId w:val="2"/>
  </w:num>
  <w:num w:numId="4" w16cid:durableId="1649045647">
    <w:abstractNumId w:val="3"/>
  </w:num>
  <w:num w:numId="5" w16cid:durableId="186859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6"/>
    <w:rsid w:val="00162687"/>
    <w:rsid w:val="002E5CD4"/>
    <w:rsid w:val="00302DE8"/>
    <w:rsid w:val="00416FC1"/>
    <w:rsid w:val="0045480B"/>
    <w:rsid w:val="00642B14"/>
    <w:rsid w:val="006E175D"/>
    <w:rsid w:val="00766CB3"/>
    <w:rsid w:val="00815DD5"/>
    <w:rsid w:val="00864EB7"/>
    <w:rsid w:val="00882288"/>
    <w:rsid w:val="008E3BF1"/>
    <w:rsid w:val="00945DC7"/>
    <w:rsid w:val="00A26A6E"/>
    <w:rsid w:val="00A470DF"/>
    <w:rsid w:val="00B255B9"/>
    <w:rsid w:val="00B55959"/>
    <w:rsid w:val="00B70CD0"/>
    <w:rsid w:val="00B97313"/>
    <w:rsid w:val="00C13174"/>
    <w:rsid w:val="00CA5304"/>
    <w:rsid w:val="00CA6006"/>
    <w:rsid w:val="00CD338C"/>
    <w:rsid w:val="00CF3567"/>
    <w:rsid w:val="00DA16A9"/>
    <w:rsid w:val="00DA5CA6"/>
    <w:rsid w:val="00DC0F80"/>
    <w:rsid w:val="00E04F10"/>
    <w:rsid w:val="00E31267"/>
    <w:rsid w:val="00E42452"/>
    <w:rsid w:val="00E46670"/>
    <w:rsid w:val="00EA6A91"/>
    <w:rsid w:val="00EB1CB6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E02A0"/>
  <w15:docId w15:val="{ACC3EFC1-EE90-487D-AB44-312DA82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globalassets/documents/guidelines/gtg_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cg14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nlinelibrary.wiley.com/doi/10.1111/j.1365-2141.2009.08022.x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og.org.uk/globalassets/documents/guidelines/gtg-37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Richard (YORK AND SCARBOROUGH TEACHING HOSPITALS NHS FOUNDATION TRUST)</cp:lastModifiedBy>
  <cp:revision>2</cp:revision>
  <dcterms:created xsi:type="dcterms:W3CDTF">2023-02-02T16:22:00Z</dcterms:created>
  <dcterms:modified xsi:type="dcterms:W3CDTF">2023-02-02T16:22:00Z</dcterms:modified>
</cp:coreProperties>
</file>