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80" w:rsidRDefault="00716280">
      <w:pP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Summary of document changes to Yorkshire &amp; Humber DNACPR form v13 to be introduced in 2014</w:t>
      </w:r>
    </w:p>
    <w:p w:rsidR="00716280" w:rsidRDefault="00716280"/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4"/>
        <w:gridCol w:w="7135"/>
      </w:tblGrid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  <w:rPr>
                <w:b/>
              </w:rPr>
            </w:pPr>
            <w:r>
              <w:rPr>
                <w:b/>
              </w:rPr>
              <w:t>Changes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t>Patient demographics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>No changes to this section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t>Next of kin details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>No changes to this section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  <w:rPr>
                <w:b/>
              </w:rPr>
            </w:pPr>
            <w:r>
              <w:rPr>
                <w:b/>
              </w:rPr>
              <w:t xml:space="preserve">Section 1: </w:t>
            </w:r>
          </w:p>
          <w:p w:rsidR="00716280" w:rsidRDefault="00716280">
            <w:pPr>
              <w:ind w:left="0"/>
            </w:pPr>
            <w:r>
              <w:t>Reason for DNACPR decision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 xml:space="preserve">In sections </w:t>
            </w:r>
            <w:r w:rsidRPr="00E1474E">
              <w:rPr>
                <w:b/>
              </w:rPr>
              <w:t>A to D</w:t>
            </w:r>
            <w:r>
              <w:t xml:space="preserve">, highlighted text has been added to indicate that </w:t>
            </w:r>
            <w:r w:rsidRPr="00E1474E">
              <w:rPr>
                <w:b/>
              </w:rPr>
              <w:t xml:space="preserve">guidance </w:t>
            </w:r>
            <w:r>
              <w:t>is available on the reverse of the form.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rPr>
                <w:b/>
              </w:rPr>
              <w:t>Option A:</w:t>
            </w:r>
            <w:r>
              <w:t xml:space="preserve"> </w:t>
            </w:r>
          </w:p>
          <w:p w:rsidR="00716280" w:rsidRDefault="00716280">
            <w:pPr>
              <w:ind w:left="0"/>
            </w:pPr>
            <w:r>
              <w:t>CPR is against the patient’s wishes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>This is unchanged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rPr>
                <w:b/>
              </w:rPr>
              <w:t>Option B:</w:t>
            </w:r>
            <w:r>
              <w:t xml:space="preserve"> relates to a valid advance decision to refuse treatment (ADRT)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>This is unchanged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rPr>
                <w:b/>
              </w:rPr>
              <w:t>Option C:</w:t>
            </w:r>
            <w:r>
              <w:t xml:space="preserve"> the words </w:t>
            </w:r>
            <w:r w:rsidRPr="00E1474E">
              <w:rPr>
                <w:b/>
                <w:i/>
              </w:rPr>
              <w:t>overall benefit</w:t>
            </w:r>
            <w:r>
              <w:t xml:space="preserve"> have been italicised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 xml:space="preserve">This change identifies to clinicians that the underlying principle involved in choosing </w:t>
            </w:r>
            <w:r w:rsidRPr="00E1474E">
              <w:rPr>
                <w:b/>
              </w:rPr>
              <w:t>Option C</w:t>
            </w:r>
            <w:r>
              <w:t xml:space="preserve"> relates to capacity. </w:t>
            </w:r>
          </w:p>
          <w:p w:rsidR="00716280" w:rsidRDefault="00716280">
            <w:pPr>
              <w:ind w:left="0"/>
            </w:pPr>
            <w:r>
              <w:t>Here, CPR may restore cardio-respiratory function, but the resultant clinical state may not be acceptable to the patient.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rPr>
                <w:b/>
              </w:rPr>
              <w:t>Option C:</w:t>
            </w:r>
            <w:r>
              <w:t xml:space="preserve"> this represents a </w:t>
            </w:r>
            <w:r w:rsidRPr="00E1474E">
              <w:rPr>
                <w:b/>
              </w:rPr>
              <w:t>best interests decision</w:t>
            </w:r>
            <w:r>
              <w:t xml:space="preserve"> and must be discussed with relevant others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 xml:space="preserve">This sentence has been amended to clarify to clinicians that choosing </w:t>
            </w:r>
            <w:r w:rsidRPr="00E1474E">
              <w:rPr>
                <w:b/>
              </w:rPr>
              <w:t>Option C</w:t>
            </w:r>
            <w:r>
              <w:t xml:space="preserve"> reflects a patient’s lack of capacity or unwillingness to discuss the matter, and emphasises the need to consult with others to determine best interests for the patient.</w:t>
            </w:r>
          </w:p>
          <w:p w:rsidR="00716280" w:rsidRDefault="00716280">
            <w:pPr>
              <w:ind w:left="0"/>
            </w:pPr>
            <w:r>
              <w:t>Date and time have been added to this section to allow more accurate documentation of recording discussions, in line with clinical documentation guidelines.</w:t>
            </w:r>
          </w:p>
          <w:p w:rsidR="00716280" w:rsidRDefault="00716280">
            <w:pPr>
              <w:ind w:left="0"/>
            </w:pPr>
            <w:r>
              <w:t xml:space="preserve">Guidance notes on </w:t>
            </w:r>
            <w:r w:rsidRPr="00E1474E">
              <w:rPr>
                <w:b/>
              </w:rPr>
              <w:t>Option C</w:t>
            </w:r>
            <w:r>
              <w:t xml:space="preserve"> on the reverse of the form have been amended to emphasise the requirement to discuss with relevant others </w:t>
            </w:r>
            <w:r>
              <w:rPr>
                <w:b/>
              </w:rPr>
              <w:t xml:space="preserve">before </w:t>
            </w:r>
            <w:r>
              <w:t xml:space="preserve">completing the form.  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 w:rsidRPr="00E1474E">
              <w:rPr>
                <w:b/>
              </w:rPr>
              <w:t>Option D:</w:t>
            </w:r>
            <w:r>
              <w:t xml:space="preserve"> the words </w:t>
            </w:r>
            <w:r w:rsidRPr="00E1474E">
              <w:rPr>
                <w:b/>
                <w:i/>
              </w:rPr>
              <w:t>clinical benefit</w:t>
            </w:r>
            <w:r>
              <w:t xml:space="preserve"> have been italicised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 xml:space="preserve">This change identifies to clinicians that the underlying principle in choosing </w:t>
            </w:r>
            <w:r w:rsidRPr="00E1474E">
              <w:rPr>
                <w:b/>
              </w:rPr>
              <w:t>Option D</w:t>
            </w:r>
            <w:r>
              <w:t xml:space="preserve"> relates to that of </w:t>
            </w:r>
            <w:r w:rsidRPr="00E1474E">
              <w:rPr>
                <w:b/>
              </w:rPr>
              <w:t>medical futility</w:t>
            </w:r>
            <w:r>
              <w:t xml:space="preserve">.  Here, CPR is not likely to succeed because the terminal event is death from the documented medical condition(s).  </w:t>
            </w:r>
          </w:p>
          <w:p w:rsidR="00716280" w:rsidRDefault="00716280">
            <w:pPr>
              <w:ind w:left="0"/>
            </w:pPr>
            <w:r>
              <w:t xml:space="preserve">The words “even” and “still” have been removed to add emphasis to the importance of clear and unambiguous communication, regardless of its rationale.  </w:t>
            </w:r>
          </w:p>
          <w:p w:rsidR="00716280" w:rsidRDefault="00716280">
            <w:pPr>
              <w:ind w:left="0"/>
            </w:pPr>
            <w:r w:rsidRPr="00E1474E">
              <w:rPr>
                <w:b/>
              </w:rPr>
              <w:t>Date and time have been added</w:t>
            </w:r>
            <w:r>
              <w:t xml:space="preserve"> to this section to allow more accurate documentation of recording discussions, in line with clinical documentation guidelines.</w:t>
            </w:r>
          </w:p>
          <w:p w:rsidR="00716280" w:rsidRDefault="00716280">
            <w:pPr>
              <w:ind w:left="0"/>
            </w:pPr>
            <w:r>
              <w:t xml:space="preserve">Space has been added to allow a free text description of the </w:t>
            </w:r>
            <w:r w:rsidRPr="00E1474E">
              <w:rPr>
                <w:b/>
              </w:rPr>
              <w:t>rationale for not discussing with the patient</w:t>
            </w:r>
            <w:r>
              <w:t xml:space="preserve">, for example, patient unconscious, too distressed, etc.  </w:t>
            </w:r>
          </w:p>
          <w:p w:rsidR="00716280" w:rsidRDefault="00716280">
            <w:pPr>
              <w:ind w:left="0"/>
            </w:pPr>
            <w:r>
              <w:t>Guidance notes on option D on the reverse remind the clinician to undertake the necessary discussions in a timely way.</w:t>
            </w:r>
          </w:p>
        </w:tc>
      </w:tr>
      <w:tr w:rsidR="00716280" w:rsidTr="00E1474E">
        <w:tc>
          <w:tcPr>
            <w:tcW w:w="4064" w:type="dxa"/>
          </w:tcPr>
          <w:p w:rsidR="00716280" w:rsidRPr="00E1474E" w:rsidRDefault="00716280">
            <w:pPr>
              <w:ind w:left="0"/>
              <w:rPr>
                <w:b/>
              </w:rPr>
            </w:pPr>
            <w:r w:rsidRPr="00E1474E">
              <w:rPr>
                <w:b/>
              </w:rPr>
              <w:t xml:space="preserve">Section 2: </w:t>
            </w:r>
          </w:p>
          <w:p w:rsidR="00716280" w:rsidRDefault="00716280">
            <w:pPr>
              <w:ind w:left="0"/>
            </w:pPr>
            <w:r>
              <w:t>Review of DNACPR decision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 xml:space="preserve">This section has undergone major revision to allow explicit documentation that a DNACPR decision has been made as part of end of life care planning, and that revision of the decision is not indicated.  </w:t>
            </w:r>
            <w:r w:rsidRPr="00E1474E">
              <w:rPr>
                <w:b/>
              </w:rPr>
              <w:t>Option 1</w:t>
            </w:r>
            <w:r>
              <w:t xml:space="preserve"> allows for up </w:t>
            </w:r>
            <w:r w:rsidRPr="00E1474E">
              <w:rPr>
                <w:b/>
              </w:rPr>
              <w:t>to 3 formal reviews</w:t>
            </w:r>
            <w:r>
              <w:t xml:space="preserve"> of the DNACPR decision.  </w:t>
            </w:r>
          </w:p>
          <w:p w:rsidR="00716280" w:rsidRDefault="00716280">
            <w:pPr>
              <w:ind w:left="0"/>
            </w:pPr>
            <w:bookmarkStart w:id="0" w:name="_GoBack"/>
            <w:bookmarkEnd w:id="0"/>
            <w:r>
              <w:t xml:space="preserve">If </w:t>
            </w:r>
            <w:r w:rsidRPr="00E1474E">
              <w:rPr>
                <w:b/>
              </w:rPr>
              <w:t>more than 3 reviews</w:t>
            </w:r>
            <w:r>
              <w:t xml:space="preserve"> are required, </w:t>
            </w:r>
            <w:r w:rsidRPr="00E1474E">
              <w:rPr>
                <w:b/>
              </w:rPr>
              <w:t>a new form should be completed</w:t>
            </w:r>
            <w:r>
              <w:t xml:space="preserve">.  </w:t>
            </w:r>
          </w:p>
          <w:p w:rsidR="00716280" w:rsidRDefault="00716280">
            <w:pPr>
              <w:ind w:left="0"/>
            </w:pPr>
            <w:r w:rsidRPr="00E1474E">
              <w:rPr>
                <w:b/>
              </w:rPr>
              <w:t>Option 2</w:t>
            </w:r>
            <w:r>
              <w:t xml:space="preserve"> allows for </w:t>
            </w:r>
            <w:r w:rsidRPr="00E1474E">
              <w:rPr>
                <w:b/>
              </w:rPr>
              <w:t>documentation of an indefinite DNACPR decision</w:t>
            </w:r>
            <w:r>
              <w:t xml:space="preserve"> as is appropriate in </w:t>
            </w:r>
            <w:r w:rsidRPr="00E1474E">
              <w:rPr>
                <w:b/>
              </w:rPr>
              <w:t>patients receiving end of life care.</w:t>
            </w:r>
            <w:r>
              <w:t xml:space="preserve">  </w:t>
            </w:r>
          </w:p>
          <w:p w:rsidR="00716280" w:rsidRDefault="00716280">
            <w:pPr>
              <w:ind w:left="0"/>
            </w:pPr>
            <w:r>
              <w:t xml:space="preserve">This </w:t>
            </w:r>
            <w:r w:rsidRPr="00E1474E">
              <w:rPr>
                <w:b/>
              </w:rPr>
              <w:t>box should be ticked if this option is chosen</w:t>
            </w:r>
            <w:r>
              <w:t xml:space="preserve">.  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  <w:rPr>
                <w:b/>
              </w:rPr>
            </w:pPr>
            <w:r>
              <w:rPr>
                <w:b/>
              </w:rPr>
              <w:t>Section 3:</w:t>
            </w:r>
          </w:p>
          <w:p w:rsidR="00716280" w:rsidRDefault="00716280">
            <w:pPr>
              <w:ind w:left="0"/>
            </w:pPr>
            <w:r>
              <w:t>Healthcare professionals completing DNACPR form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>This section has been amended to allow clearer documentation of the identity,</w:t>
            </w:r>
            <w:r w:rsidRPr="00E1474E">
              <w:rPr>
                <w:b/>
              </w:rPr>
              <w:t xml:space="preserve"> role and professional qualifications</w:t>
            </w:r>
            <w:r>
              <w:t xml:space="preserve"> of the clinician making the decision.  All parts must be completed and name, designation, organisation and registration numbers must be legible.  Signatures need not be legible.  </w:t>
            </w:r>
          </w:p>
          <w:p w:rsidR="00716280" w:rsidRDefault="00716280">
            <w:pPr>
              <w:ind w:left="0"/>
            </w:pPr>
            <w:r>
              <w:t xml:space="preserve">As with version 12, a </w:t>
            </w:r>
            <w:r w:rsidRPr="00E1474E">
              <w:rPr>
                <w:b/>
              </w:rPr>
              <w:t>countersignature is only required if a junior doctor has completed the form under the instruction of a senior clinician</w:t>
            </w:r>
            <w:r>
              <w:t xml:space="preserve">.  Countersignatures should be completed as per local policy.  </w:t>
            </w:r>
          </w:p>
        </w:tc>
      </w:tr>
      <w:tr w:rsidR="00716280" w:rsidTr="00E1474E">
        <w:tc>
          <w:tcPr>
            <w:tcW w:w="4064" w:type="dxa"/>
          </w:tcPr>
          <w:p w:rsidR="00716280" w:rsidRDefault="00716280">
            <w:pPr>
              <w:ind w:left="0"/>
            </w:pPr>
            <w:r>
              <w:t>Additional information on reverse</w:t>
            </w:r>
          </w:p>
        </w:tc>
        <w:tc>
          <w:tcPr>
            <w:tcW w:w="7135" w:type="dxa"/>
          </w:tcPr>
          <w:p w:rsidR="00716280" w:rsidRDefault="00716280">
            <w:pPr>
              <w:ind w:left="0"/>
            </w:pPr>
            <w:r>
              <w:t>Review information and details of the Regional Lead Contact have been added.</w:t>
            </w:r>
          </w:p>
        </w:tc>
      </w:tr>
    </w:tbl>
    <w:p w:rsidR="00716280" w:rsidRDefault="00716280"/>
    <w:p w:rsidR="00716280" w:rsidRDefault="00716280">
      <w:pPr>
        <w:rPr>
          <w:sz w:val="18"/>
          <w:szCs w:val="18"/>
        </w:rPr>
      </w:pPr>
    </w:p>
    <w:sectPr w:rsidR="00716280" w:rsidSect="00BA3BC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C24"/>
    <w:rsid w:val="00153374"/>
    <w:rsid w:val="00716280"/>
    <w:rsid w:val="00765C24"/>
    <w:rsid w:val="00A76002"/>
    <w:rsid w:val="00BA3BC5"/>
    <w:rsid w:val="00E1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374"/>
    <w:pPr>
      <w:ind w:left="284" w:right="284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33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539</Words>
  <Characters>3077</Characters>
  <Application>Microsoft Office Outlook</Application>
  <DocSecurity>0</DocSecurity>
  <Lines>0</Lines>
  <Paragraphs>0</Paragraphs>
  <ScaleCrop>false</ScaleCrop>
  <Company>Calderdale &amp; Huddersfield Foundation Trust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document changes to Yorkshire &amp; Humber DNACPR form v13 to be introduced in 2014</dc:title>
  <dc:subject/>
  <dc:creator>Marian Berry</dc:creator>
  <cp:keywords/>
  <dc:description/>
  <cp:lastModifiedBy>dspadone</cp:lastModifiedBy>
  <cp:revision>3</cp:revision>
  <cp:lastPrinted>2013-10-17T07:25:00Z</cp:lastPrinted>
  <dcterms:created xsi:type="dcterms:W3CDTF">2014-03-27T13:40:00Z</dcterms:created>
  <dcterms:modified xsi:type="dcterms:W3CDTF">2014-03-30T23:04:00Z</dcterms:modified>
</cp:coreProperties>
</file>