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1AA" w:rsidRDefault="009811AA" w:rsidP="00112838">
      <w:pPr>
        <w:jc w:val="center"/>
        <w:rPr>
          <w:sz w:val="48"/>
          <w:szCs w:val="48"/>
        </w:rPr>
      </w:pPr>
      <w:bookmarkStart w:id="0" w:name="_GoBack"/>
      <w:bookmarkEnd w:id="0"/>
    </w:p>
    <w:p w:rsidR="009811AA" w:rsidRDefault="004A7FE9" w:rsidP="004A7FE9">
      <w:pPr>
        <w:rPr>
          <w:sz w:val="48"/>
          <w:szCs w:val="48"/>
        </w:rPr>
      </w:pPr>
      <w:r>
        <w:rPr>
          <w:noProof/>
          <w:lang w:eastAsia="en-GB"/>
        </w:rPr>
        <w:drawing>
          <wp:inline distT="0" distB="0" distL="0" distR="0">
            <wp:extent cx="5734050" cy="821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821880"/>
                    </a:xfrm>
                    <a:prstGeom prst="rect">
                      <a:avLst/>
                    </a:prstGeom>
                    <a:noFill/>
                    <a:ln>
                      <a:noFill/>
                    </a:ln>
                  </pic:spPr>
                </pic:pic>
              </a:graphicData>
            </a:graphic>
          </wp:inline>
        </w:drawing>
      </w:r>
    </w:p>
    <w:p w:rsidR="009811AA" w:rsidRDefault="009811AA" w:rsidP="00112838">
      <w:pPr>
        <w:jc w:val="center"/>
        <w:rPr>
          <w:sz w:val="48"/>
          <w:szCs w:val="48"/>
        </w:rPr>
      </w:pPr>
    </w:p>
    <w:p w:rsidR="009811AA" w:rsidRDefault="009811AA" w:rsidP="00112838">
      <w:pPr>
        <w:jc w:val="center"/>
        <w:rPr>
          <w:sz w:val="48"/>
          <w:szCs w:val="48"/>
        </w:rPr>
      </w:pPr>
    </w:p>
    <w:p w:rsidR="009811AA" w:rsidRDefault="009811AA" w:rsidP="00112838">
      <w:pPr>
        <w:jc w:val="center"/>
        <w:rPr>
          <w:sz w:val="48"/>
          <w:szCs w:val="48"/>
        </w:rPr>
      </w:pPr>
    </w:p>
    <w:p w:rsidR="00134D1B" w:rsidRDefault="00F1294C" w:rsidP="00112838">
      <w:pPr>
        <w:jc w:val="center"/>
        <w:rPr>
          <w:sz w:val="48"/>
          <w:szCs w:val="48"/>
        </w:rPr>
      </w:pPr>
      <w:r w:rsidRPr="00112838">
        <w:rPr>
          <w:sz w:val="48"/>
          <w:szCs w:val="48"/>
        </w:rPr>
        <w:t xml:space="preserve">Notification of Changes to </w:t>
      </w:r>
      <w:r w:rsidR="00112838" w:rsidRPr="00112838">
        <w:rPr>
          <w:sz w:val="48"/>
          <w:szCs w:val="48"/>
        </w:rPr>
        <w:t>Service Provision</w:t>
      </w:r>
    </w:p>
    <w:p w:rsidR="00112838" w:rsidRDefault="00112838" w:rsidP="00112838">
      <w:pPr>
        <w:jc w:val="center"/>
        <w:rPr>
          <w:sz w:val="48"/>
          <w:szCs w:val="48"/>
        </w:rPr>
      </w:pPr>
      <w:r>
        <w:rPr>
          <w:sz w:val="48"/>
          <w:szCs w:val="48"/>
        </w:rPr>
        <w:t>Immunoassay</w:t>
      </w:r>
    </w:p>
    <w:p w:rsidR="00112838" w:rsidRDefault="00112838" w:rsidP="00112838">
      <w:pPr>
        <w:jc w:val="center"/>
        <w:rPr>
          <w:sz w:val="48"/>
          <w:szCs w:val="48"/>
        </w:rPr>
      </w:pPr>
      <w:r>
        <w:rPr>
          <w:sz w:val="48"/>
          <w:szCs w:val="48"/>
        </w:rPr>
        <w:t>Clinical Biochemistry</w:t>
      </w:r>
    </w:p>
    <w:p w:rsidR="00112838" w:rsidRDefault="00112838" w:rsidP="00112838">
      <w:pPr>
        <w:jc w:val="center"/>
        <w:rPr>
          <w:sz w:val="48"/>
          <w:szCs w:val="48"/>
        </w:rPr>
      </w:pPr>
      <w:r>
        <w:rPr>
          <w:sz w:val="48"/>
          <w:szCs w:val="48"/>
        </w:rPr>
        <w:t>York Teaching Hospital NHS Foundation Trust</w:t>
      </w:r>
    </w:p>
    <w:p w:rsidR="00112838" w:rsidRDefault="00112838" w:rsidP="00112838">
      <w:pPr>
        <w:jc w:val="center"/>
        <w:rPr>
          <w:sz w:val="48"/>
          <w:szCs w:val="48"/>
        </w:rPr>
      </w:pPr>
    </w:p>
    <w:p w:rsidR="00112838" w:rsidRDefault="00112838">
      <w:r>
        <w:br w:type="page"/>
      </w:r>
    </w:p>
    <w:p w:rsidR="00112838" w:rsidRPr="00112838" w:rsidRDefault="00112838">
      <w:pPr>
        <w:rPr>
          <w:b/>
          <w:sz w:val="28"/>
          <w:szCs w:val="28"/>
        </w:rPr>
      </w:pPr>
      <w:r w:rsidRPr="00112838">
        <w:rPr>
          <w:b/>
          <w:sz w:val="28"/>
          <w:szCs w:val="28"/>
        </w:rPr>
        <w:lastRenderedPageBreak/>
        <w:t>Introduction</w:t>
      </w:r>
    </w:p>
    <w:p w:rsidR="00112838" w:rsidRDefault="00B126C0" w:rsidP="00B126C0">
      <w:pPr>
        <w:jc w:val="both"/>
      </w:pPr>
      <w:r>
        <w:t xml:space="preserve">York Teaching Hospital NHS Foundation Trust encompasses York Teaching Hospital and Scarborough </w:t>
      </w:r>
      <w:r w:rsidR="00710DF9">
        <w:t xml:space="preserve">General </w:t>
      </w:r>
      <w:r>
        <w:t xml:space="preserve">Hospital as well as several smaller hospitals throughout the region. </w:t>
      </w:r>
      <w:r w:rsidR="00CA7DD1">
        <w:t xml:space="preserve">Laboratory Medicine operates across the York and Scarborough sites and provides services to primary and secondary care across North Yorkshire, North East Yorkshire and Ryedale. </w:t>
      </w:r>
    </w:p>
    <w:p w:rsidR="00112838" w:rsidRDefault="00CA7DD1" w:rsidP="00B126C0">
      <w:pPr>
        <w:jc w:val="both"/>
      </w:pPr>
      <w:r>
        <w:t xml:space="preserve">Within Laboratory Medicine, the contract for our current service provider </w:t>
      </w:r>
      <w:r w:rsidR="00710DF9">
        <w:t>for</w:t>
      </w:r>
      <w:r>
        <w:t xml:space="preserve"> Clinical Biochemistry </w:t>
      </w:r>
      <w:r w:rsidR="009811AA">
        <w:t>is close to expiration. We have</w:t>
      </w:r>
      <w:r>
        <w:t xml:space="preserve"> recently completed a tender process for the provision of our c</w:t>
      </w:r>
      <w:r w:rsidR="00FC7B8A">
        <w:t>ore</w:t>
      </w:r>
      <w:r>
        <w:t xml:space="preserve"> chemistry and immunoassay services</w:t>
      </w:r>
      <w:r w:rsidR="00B74A28">
        <w:t xml:space="preserve">. The tender process was </w:t>
      </w:r>
      <w:r w:rsidR="00710DF9">
        <w:t>undertaken</w:t>
      </w:r>
      <w:r w:rsidR="00B74A28">
        <w:t xml:space="preserve"> with the assistance of the NHS North of England Commercial Procurement Collaborative. All of the companies who submitted bids for the tender were subject to rigorous marking criteria based on service provision and quality. We are pleased to announce that we </w:t>
      </w:r>
      <w:r w:rsidR="00ED50D6">
        <w:t xml:space="preserve">have </w:t>
      </w:r>
      <w:r w:rsidR="00B74A28">
        <w:t>awarded the tender to Roche Diagnostics and feel that this will enable us to deliver the best possible service to you and</w:t>
      </w:r>
      <w:r w:rsidR="00ED50D6">
        <w:t>,</w:t>
      </w:r>
      <w:r w:rsidR="00B74A28">
        <w:t xml:space="preserve"> more importantly</w:t>
      </w:r>
      <w:r w:rsidR="00ED50D6">
        <w:t>,</w:t>
      </w:r>
      <w:r w:rsidR="00B74A28">
        <w:t xml:space="preserve"> to your patients. </w:t>
      </w:r>
    </w:p>
    <w:p w:rsidR="00112838" w:rsidRDefault="00ED50D6" w:rsidP="00ED50D6">
      <w:pPr>
        <w:jc w:val="both"/>
      </w:pPr>
      <w:r>
        <w:t>The installation of the new analysers will occur in two phases. Phase one will involve the implementation of the new immunoassay analysers on the York and Scarborough sites. The expected ‘go-live’ date for the new immunoassay service is 01/08/17. This will be followed by the implementation of the c</w:t>
      </w:r>
      <w:r w:rsidR="00FC7B8A">
        <w:t>ore</w:t>
      </w:r>
      <w:r>
        <w:t xml:space="preserve"> chemistry analysers early next year. </w:t>
      </w:r>
    </w:p>
    <w:p w:rsidR="00ED50D6" w:rsidRDefault="00710DF9" w:rsidP="00ED50D6">
      <w:pPr>
        <w:jc w:val="both"/>
      </w:pPr>
      <w:r>
        <w:t>T</w:t>
      </w:r>
      <w:r w:rsidR="00ED50D6">
        <w:t>his leaflet will</w:t>
      </w:r>
      <w:r w:rsidR="00FC7B8A">
        <w:t xml:space="preserve"> focus </w:t>
      </w:r>
      <w:r w:rsidR="00ED50D6">
        <w:t>solely on those changes to our immunoassay serv</w:t>
      </w:r>
      <w:r w:rsidR="00FC7B8A">
        <w:t>ice. Any changes to the core</w:t>
      </w:r>
      <w:r w:rsidR="00ED50D6">
        <w:t xml:space="preserve"> chemistry services will be communicated at a later date. </w:t>
      </w:r>
      <w:r w:rsidR="00DA3C35">
        <w:t xml:space="preserve">Within immunoassay, we expect there to be minor changes to most assays, however </w:t>
      </w:r>
      <w:r w:rsidR="00C57BB2">
        <w:t>we do not expect these changes to be clinically significant</w:t>
      </w:r>
      <w:r w:rsidR="00DA3C35">
        <w:t xml:space="preserve">. Only information regarding expected significant changes that may impact on patient management has been included in this notification. Where changes have occurred we will alert you to these using automated comments that will appear on reports. </w:t>
      </w:r>
    </w:p>
    <w:p w:rsidR="00112838" w:rsidRDefault="00DA3C35" w:rsidP="00DA3C35">
      <w:pPr>
        <w:jc w:val="both"/>
      </w:pPr>
      <w:r>
        <w:t>If you have any queries regarding the content of this notification then please do not hesitate to contact the laboratory using the contact details provided below.</w:t>
      </w:r>
    </w:p>
    <w:p w:rsidR="009811AA" w:rsidRDefault="009811AA" w:rsidP="009811AA">
      <w:pPr>
        <w:spacing w:after="0"/>
      </w:pPr>
      <w:r>
        <w:t>Claire Louise Chapman</w:t>
      </w:r>
    </w:p>
    <w:p w:rsidR="009811AA" w:rsidRDefault="009811AA" w:rsidP="009811AA">
      <w:pPr>
        <w:spacing w:after="0"/>
      </w:pPr>
      <w:r>
        <w:t>Principal Clinical Scientist</w:t>
      </w:r>
    </w:p>
    <w:p w:rsidR="009811AA" w:rsidRDefault="009811AA" w:rsidP="009811AA">
      <w:pPr>
        <w:spacing w:after="0"/>
      </w:pPr>
      <w:r>
        <w:t>01904 726098</w:t>
      </w:r>
    </w:p>
    <w:p w:rsidR="009811AA" w:rsidRDefault="00746DFF" w:rsidP="009811AA">
      <w:pPr>
        <w:spacing w:after="0"/>
      </w:pPr>
      <w:hyperlink r:id="rId9" w:history="1">
        <w:r w:rsidR="009811AA" w:rsidRPr="006B64FF">
          <w:rPr>
            <w:rStyle w:val="Hyperlink"/>
          </w:rPr>
          <w:t>claire.l.chapman@york.nhs.uk</w:t>
        </w:r>
      </w:hyperlink>
    </w:p>
    <w:p w:rsidR="009811AA" w:rsidRDefault="009811AA" w:rsidP="009811AA">
      <w:pPr>
        <w:spacing w:after="0"/>
      </w:pPr>
    </w:p>
    <w:p w:rsidR="009811AA" w:rsidRDefault="009811AA" w:rsidP="009811AA">
      <w:pPr>
        <w:spacing w:after="0"/>
      </w:pPr>
      <w:r>
        <w:t>Dr Deepak Chandrajay</w:t>
      </w:r>
    </w:p>
    <w:p w:rsidR="009811AA" w:rsidRDefault="009811AA" w:rsidP="009811AA">
      <w:pPr>
        <w:spacing w:after="0"/>
      </w:pPr>
      <w:r>
        <w:t>Consultant Chemical Pathologist</w:t>
      </w:r>
    </w:p>
    <w:p w:rsidR="009811AA" w:rsidRDefault="009811AA" w:rsidP="009811AA">
      <w:pPr>
        <w:spacing w:after="0"/>
      </w:pPr>
      <w:r>
        <w:t>01904 725670</w:t>
      </w:r>
    </w:p>
    <w:p w:rsidR="009811AA" w:rsidRDefault="00746DFF" w:rsidP="009811AA">
      <w:pPr>
        <w:spacing w:after="0"/>
      </w:pPr>
      <w:hyperlink r:id="rId10" w:history="1">
        <w:r w:rsidR="009811AA" w:rsidRPr="006B64FF">
          <w:rPr>
            <w:rStyle w:val="Hyperlink"/>
          </w:rPr>
          <w:t>deepak.chandrajay@york.nhs.uk</w:t>
        </w:r>
      </w:hyperlink>
    </w:p>
    <w:p w:rsidR="009811AA" w:rsidRDefault="009811AA" w:rsidP="009811AA">
      <w:pPr>
        <w:spacing w:after="0"/>
      </w:pPr>
    </w:p>
    <w:p w:rsidR="009811AA" w:rsidRDefault="009811AA" w:rsidP="009811AA">
      <w:pPr>
        <w:spacing w:after="0"/>
      </w:pPr>
      <w:r>
        <w:t>Alison Jones</w:t>
      </w:r>
    </w:p>
    <w:p w:rsidR="009811AA" w:rsidRDefault="009811AA" w:rsidP="009811AA">
      <w:pPr>
        <w:spacing w:after="0"/>
      </w:pPr>
      <w:r>
        <w:t>Consultant Clinical Biochemist</w:t>
      </w:r>
    </w:p>
    <w:p w:rsidR="009811AA" w:rsidRDefault="009811AA" w:rsidP="009811AA">
      <w:pPr>
        <w:spacing w:after="0"/>
      </w:pPr>
      <w:r>
        <w:t>01904 725786</w:t>
      </w:r>
    </w:p>
    <w:p w:rsidR="009811AA" w:rsidRDefault="00746DFF" w:rsidP="009811AA">
      <w:pPr>
        <w:spacing w:after="0"/>
      </w:pPr>
      <w:hyperlink r:id="rId11" w:history="1">
        <w:r w:rsidR="009811AA" w:rsidRPr="006B64FF">
          <w:rPr>
            <w:rStyle w:val="Hyperlink"/>
          </w:rPr>
          <w:t>alison.jones@york.nhs.uk</w:t>
        </w:r>
      </w:hyperlink>
    </w:p>
    <w:p w:rsidR="009811AA" w:rsidRDefault="009811AA" w:rsidP="009811AA">
      <w:pPr>
        <w:spacing w:after="0"/>
      </w:pPr>
    </w:p>
    <w:p w:rsidR="009811AA" w:rsidRDefault="009811AA" w:rsidP="009811AA">
      <w:pPr>
        <w:spacing w:after="0"/>
      </w:pPr>
      <w:r>
        <w:t>Duty Biochemist</w:t>
      </w:r>
    </w:p>
    <w:p w:rsidR="009811AA" w:rsidRPr="009811AA" w:rsidRDefault="009811AA" w:rsidP="009811AA">
      <w:pPr>
        <w:spacing w:after="0"/>
      </w:pPr>
      <w:r>
        <w:t>01904 726366</w:t>
      </w:r>
      <w:r>
        <w:rPr>
          <w:b/>
          <w:sz w:val="28"/>
          <w:szCs w:val="28"/>
        </w:rPr>
        <w:br w:type="page"/>
      </w:r>
    </w:p>
    <w:p w:rsidR="00AD36AC" w:rsidRDefault="00AD36AC" w:rsidP="00D8055E">
      <w:pPr>
        <w:jc w:val="both"/>
        <w:rPr>
          <w:b/>
          <w:sz w:val="28"/>
          <w:szCs w:val="28"/>
        </w:rPr>
      </w:pPr>
      <w:r>
        <w:rPr>
          <w:b/>
          <w:sz w:val="28"/>
          <w:szCs w:val="28"/>
        </w:rPr>
        <w:lastRenderedPageBreak/>
        <w:t>Cardiac Markers</w:t>
      </w:r>
    </w:p>
    <w:p w:rsidR="00AF3B54" w:rsidRDefault="00AF3B54" w:rsidP="00D8055E">
      <w:pPr>
        <w:jc w:val="both"/>
        <w:rPr>
          <w:b/>
          <w:i/>
          <w:iCs/>
        </w:rPr>
      </w:pPr>
    </w:p>
    <w:p w:rsidR="00112838" w:rsidRPr="00AF3B54" w:rsidRDefault="00AF3B54" w:rsidP="00D8055E">
      <w:pPr>
        <w:jc w:val="both"/>
        <w:rPr>
          <w:b/>
          <w:i/>
          <w:iCs/>
        </w:rPr>
      </w:pPr>
      <w:r w:rsidRPr="00AF3B54">
        <w:rPr>
          <w:b/>
          <w:i/>
          <w:iCs/>
        </w:rPr>
        <w:t>Troponin</w:t>
      </w:r>
    </w:p>
    <w:p w:rsidR="0097059B" w:rsidRDefault="0097059B" w:rsidP="00D8055E">
      <w:pPr>
        <w:jc w:val="both"/>
      </w:pPr>
      <w:r>
        <w:t>The troponin assay will change from a contemporary Troponin I assay (TnI) to a high sensitivity Troponin T assay (hsTnT</w:t>
      </w:r>
      <w:r w:rsidRPr="006155CE">
        <w:t xml:space="preserve">). </w:t>
      </w:r>
      <w:r w:rsidRPr="006155CE">
        <w:rPr>
          <w:b/>
        </w:rPr>
        <w:t xml:space="preserve"> Results will be completely different to the current results and will not be comparable.</w:t>
      </w:r>
      <w:r>
        <w:t xml:space="preserve">  The new assay has been approved by NICE (DG15 – Myocardial infarction (acute): Early rule-out using high-sensitivity troponin tests. 2014).</w:t>
      </w:r>
    </w:p>
    <w:p w:rsidR="0097059B" w:rsidRDefault="0097059B" w:rsidP="00D8055E">
      <w:pPr>
        <w:jc w:val="both"/>
      </w:pPr>
      <w:r>
        <w:t>The new hsTnT assay will allow some decisions to be made about patients presentin</w:t>
      </w:r>
      <w:r w:rsidR="00EE141C">
        <w:t xml:space="preserve">g with chest pain much faster. </w:t>
      </w:r>
      <w:r>
        <w:t xml:space="preserve">Together with clinical assessment and ECG, </w:t>
      </w:r>
      <w:r w:rsidR="00AF19A4">
        <w:t xml:space="preserve">hsTnT </w:t>
      </w:r>
      <w:r>
        <w:t>measurements taken at presentation and 1 hour later can rule out acute myocardial infarction (AMI) in approximately 75% of cases.</w:t>
      </w:r>
    </w:p>
    <w:p w:rsidR="006155CE" w:rsidRDefault="0097059B" w:rsidP="00D8055E">
      <w:pPr>
        <w:jc w:val="both"/>
      </w:pPr>
      <w:r>
        <w:t>A new Chest Pain Pathway for suspected ACS</w:t>
      </w:r>
      <w:r w:rsidR="006155CE">
        <w:t xml:space="preserve"> for patients presenting with acute chest pain in secondary care</w:t>
      </w:r>
      <w:r>
        <w:t xml:space="preserve"> will be available on the Trust Intranet.</w:t>
      </w:r>
    </w:p>
    <w:p w:rsidR="006155CE" w:rsidRDefault="006155CE" w:rsidP="00D8055E">
      <w:pPr>
        <w:jc w:val="both"/>
      </w:pPr>
      <w:r>
        <w:t>The use of troponin to assess chest pain in primary care is not recommended.</w:t>
      </w:r>
    </w:p>
    <w:p w:rsidR="00AD36AC" w:rsidRDefault="00AD36AC">
      <w:pPr>
        <w:rPr>
          <w:b/>
          <w:sz w:val="28"/>
          <w:szCs w:val="28"/>
        </w:rPr>
      </w:pPr>
    </w:p>
    <w:p w:rsidR="00AD36AC" w:rsidRPr="00AF3B54" w:rsidRDefault="00AF3B54" w:rsidP="00D8055E">
      <w:pPr>
        <w:jc w:val="both"/>
        <w:rPr>
          <w:b/>
          <w:i/>
          <w:iCs/>
        </w:rPr>
      </w:pPr>
      <w:r>
        <w:rPr>
          <w:b/>
          <w:i/>
          <w:iCs/>
        </w:rPr>
        <w:t>NT-pro</w:t>
      </w:r>
      <w:r w:rsidR="00AD36AC" w:rsidRPr="00AF3B54">
        <w:rPr>
          <w:b/>
          <w:i/>
          <w:iCs/>
        </w:rPr>
        <w:t>-BNP</w:t>
      </w:r>
    </w:p>
    <w:p w:rsidR="006F49D9" w:rsidRDefault="00AD36AC" w:rsidP="00D8055E">
      <w:pPr>
        <w:jc w:val="both"/>
      </w:pPr>
      <w:r>
        <w:t>The sample type for NT-pro</w:t>
      </w:r>
      <w:r w:rsidR="00AF3B54">
        <w:t>-</w:t>
      </w:r>
      <w:r>
        <w:t>BNP will change from lithium heparin (orange top) to serum (brown top).  This will mean that NT-pro-BNP can be tested on routine Biochemistry samples and a separate sample will no longer be required.</w:t>
      </w:r>
      <w:r w:rsidR="006F49D9">
        <w:t xml:space="preserve">  </w:t>
      </w:r>
    </w:p>
    <w:p w:rsidR="006F49D9" w:rsidRDefault="006F49D9" w:rsidP="00D8055E">
      <w:pPr>
        <w:jc w:val="both"/>
      </w:pPr>
      <w:r>
        <w:t>Lithium heparin samples will still be accepted.</w:t>
      </w:r>
    </w:p>
    <w:p w:rsidR="00FC7B8A" w:rsidRPr="00AD36AC" w:rsidRDefault="00FC7B8A">
      <w:pPr>
        <w:rPr>
          <w:b/>
        </w:rPr>
      </w:pPr>
      <w:r w:rsidRPr="00AD36AC">
        <w:rPr>
          <w:b/>
        </w:rPr>
        <w:br w:type="page"/>
      </w:r>
    </w:p>
    <w:p w:rsidR="00F1294C" w:rsidRPr="00203945" w:rsidRDefault="00F1294C">
      <w:pPr>
        <w:rPr>
          <w:b/>
          <w:sz w:val="28"/>
          <w:szCs w:val="28"/>
        </w:rPr>
      </w:pPr>
      <w:r w:rsidRPr="00203945">
        <w:rPr>
          <w:b/>
          <w:sz w:val="28"/>
          <w:szCs w:val="28"/>
        </w:rPr>
        <w:lastRenderedPageBreak/>
        <w:t>Tumour Markers</w:t>
      </w:r>
    </w:p>
    <w:p w:rsidR="00321217" w:rsidRDefault="00701FA2" w:rsidP="00203945">
      <w:pPr>
        <w:jc w:val="both"/>
        <w:rPr>
          <w:rStyle w:val="Hyperlink"/>
        </w:rPr>
      </w:pPr>
      <w:r>
        <w:t>The change in service provider may be associated with a change in tumour marker results for some patients. The tumour markers affected are CA12-5, CA15-3, C</w:t>
      </w:r>
      <w:r w:rsidR="00095682">
        <w:t xml:space="preserve">A19-9, CEA, AFP and </w:t>
      </w:r>
      <w:proofErr w:type="gramStart"/>
      <w:r w:rsidR="00095682">
        <w:t>hCG</w:t>
      </w:r>
      <w:proofErr w:type="gramEnd"/>
      <w:r w:rsidR="00095682">
        <w:t>. P</w:t>
      </w:r>
      <w:r>
        <w:t xml:space="preserve">atients being serially monitored using these tumour markers for a pre-existing cancer diagnosis must have their levels re-baselined to allow for continued monitoring in the future. Re-baselining will involve measuring tumour markers levels using both the current assay (Siemens) and the new assay (Roche). </w:t>
      </w:r>
      <w:r w:rsidR="00CE41E1">
        <w:t>A letter was sent out in June to</w:t>
      </w:r>
      <w:r w:rsidR="00FC7B8A">
        <w:t xml:space="preserve"> </w:t>
      </w:r>
      <w:r w:rsidR="00CE41E1">
        <w:t xml:space="preserve">Consultant Oncologists, Surgeons and Chemotherapy Nurses within </w:t>
      </w:r>
      <w:r w:rsidR="00174A6A">
        <w:t xml:space="preserve">the Trust </w:t>
      </w:r>
      <w:r w:rsidR="00CE41E1">
        <w:t>notifying them of the expected change and the need for re-bas</w:t>
      </w:r>
      <w:r w:rsidR="00174A6A">
        <w:t xml:space="preserve">elining. This letter can be viewed </w:t>
      </w:r>
      <w:r w:rsidR="00CE41E1">
        <w:t xml:space="preserve">on the Trust website </w:t>
      </w:r>
      <w:r w:rsidR="009E667B">
        <w:t>(</w:t>
      </w:r>
      <w:hyperlink r:id="rId12" w:history="1">
        <w:r w:rsidR="009E667B">
          <w:rPr>
            <w:rStyle w:val="Hyperlink"/>
          </w:rPr>
          <w:t>https://tinyurl.com/LabMedNews</w:t>
        </w:r>
      </w:hyperlink>
      <w:r w:rsidR="009E667B">
        <w:rPr>
          <w:color w:val="1F497D" w:themeColor="dark2"/>
        </w:rPr>
        <w:t xml:space="preserve">).  </w:t>
      </w:r>
    </w:p>
    <w:p w:rsidR="00EA36C9" w:rsidRPr="00EA36C9" w:rsidRDefault="00EA36C9" w:rsidP="00203945">
      <w:pPr>
        <w:jc w:val="both"/>
        <w:rPr>
          <w:color w:val="0000FF" w:themeColor="hyperlink"/>
          <w:u w:val="single"/>
        </w:rPr>
      </w:pPr>
    </w:p>
    <w:p w:rsidR="00321217" w:rsidRPr="00321217" w:rsidRDefault="00321217" w:rsidP="00203945">
      <w:pPr>
        <w:jc w:val="both"/>
        <w:rPr>
          <w:b/>
          <w:i/>
        </w:rPr>
      </w:pPr>
      <w:r w:rsidRPr="00321217">
        <w:rPr>
          <w:b/>
          <w:i/>
        </w:rPr>
        <w:t>PSA</w:t>
      </w:r>
    </w:p>
    <w:p w:rsidR="003B4563" w:rsidRDefault="00321217" w:rsidP="00095682">
      <w:pPr>
        <w:jc w:val="both"/>
      </w:pPr>
      <w:r>
        <w:t>At present we quote the refer</w:t>
      </w:r>
      <w:r w:rsidR="00C815E4">
        <w:t xml:space="preserve">ral thresholds </w:t>
      </w:r>
      <w:r>
        <w:t xml:space="preserve">recommended by the </w:t>
      </w:r>
      <w:r w:rsidR="00AE50A9">
        <w:t xml:space="preserve">NHS </w:t>
      </w:r>
      <w:r>
        <w:t>Prostate Cancer Risk Management Programme and NICE</w:t>
      </w:r>
      <w:r w:rsidR="00C815E4">
        <w:t xml:space="preserve"> as reference limits</w:t>
      </w:r>
      <w:r w:rsidR="00AE50A9">
        <w:t>. Thes</w:t>
      </w:r>
      <w:r>
        <w:t xml:space="preserve">e are summarised in the table below. We will continue to quote these reference limits when we move to the new assay. </w:t>
      </w:r>
      <w:r w:rsidR="00095682">
        <w:t xml:space="preserve">In addition we will also </w:t>
      </w:r>
      <w:r w:rsidR="00FE3DCC">
        <w:t>quot</w:t>
      </w:r>
      <w:r w:rsidR="00710DF9">
        <w:t>e</w:t>
      </w:r>
      <w:r w:rsidR="00FE3DCC">
        <w:t xml:space="preserve"> a reference limit </w:t>
      </w:r>
      <w:r w:rsidR="00A348D8">
        <w:t>for 40 – 49 year olds of &lt;2.0 ng</w:t>
      </w:r>
      <w:r w:rsidR="00FE3DCC">
        <w:t>/</w:t>
      </w:r>
      <w:r w:rsidR="00A348D8">
        <w:t>m</w:t>
      </w:r>
      <w:r w:rsidR="00FE3DCC">
        <w:t xml:space="preserve">L in accordance with NICE guidance. </w:t>
      </w:r>
      <w:r w:rsidR="00AE50A9">
        <w:t xml:space="preserve">Due to the new assay having a slight positive bias </w:t>
      </w:r>
      <w:r w:rsidR="00C815E4">
        <w:t xml:space="preserve">when </w:t>
      </w:r>
      <w:r w:rsidR="00AE50A9">
        <w:t xml:space="preserve">compared with our current assay, results may be slightly higher than </w:t>
      </w:r>
      <w:r w:rsidR="003E74FA">
        <w:t xml:space="preserve">those reported </w:t>
      </w:r>
      <w:r w:rsidR="00AE50A9">
        <w:t xml:space="preserve">at present. This may result in </w:t>
      </w:r>
      <w:r w:rsidR="003E74FA">
        <w:t xml:space="preserve">a slight increase in </w:t>
      </w:r>
      <w:r w:rsidR="00AE50A9">
        <w:t xml:space="preserve">patients having PSA levels above the reference limits. </w:t>
      </w:r>
      <w:r w:rsidR="00095682">
        <w:t xml:space="preserve"> </w:t>
      </w:r>
      <w:r w:rsidR="00C145C4">
        <w:t>For guidance on management of patients with elevated PSA levels please refer to NICE Guidance (</w:t>
      </w:r>
      <w:hyperlink r:id="rId13" w:history="1">
        <w:r w:rsidR="00C145C4" w:rsidRPr="000842CC">
          <w:rPr>
            <w:rStyle w:val="Hyperlink"/>
          </w:rPr>
          <w:t>https://cks.nice.org.uk/prostate-cancer</w:t>
        </w:r>
      </w:hyperlink>
      <w:r w:rsidR="00095682">
        <w:t>) or to the information provided by your CCG.</w:t>
      </w:r>
    </w:p>
    <w:p w:rsidR="00EA36C9" w:rsidRDefault="00EA36C9" w:rsidP="00203945">
      <w:pPr>
        <w:jc w:val="both"/>
      </w:pPr>
    </w:p>
    <w:tbl>
      <w:tblPr>
        <w:tblStyle w:val="TableGrid"/>
        <w:tblW w:w="0" w:type="auto"/>
        <w:tblInd w:w="817" w:type="dxa"/>
        <w:tblLook w:val="04A0" w:firstRow="1" w:lastRow="0" w:firstColumn="1" w:lastColumn="0" w:noHBand="0" w:noVBand="1"/>
      </w:tblPr>
      <w:tblGrid>
        <w:gridCol w:w="3402"/>
        <w:gridCol w:w="3686"/>
      </w:tblGrid>
      <w:tr w:rsidR="00C815E4" w:rsidTr="00C815E4">
        <w:tc>
          <w:tcPr>
            <w:tcW w:w="7088" w:type="dxa"/>
            <w:gridSpan w:val="2"/>
            <w:tcBorders>
              <w:top w:val="double" w:sz="4" w:space="0" w:color="auto"/>
              <w:left w:val="double" w:sz="4" w:space="0" w:color="auto"/>
              <w:bottom w:val="double" w:sz="4" w:space="0" w:color="auto"/>
              <w:right w:val="double" w:sz="4" w:space="0" w:color="auto"/>
            </w:tcBorders>
          </w:tcPr>
          <w:p w:rsidR="00C815E4" w:rsidRPr="00C815E4" w:rsidRDefault="00C815E4" w:rsidP="00C815E4">
            <w:pPr>
              <w:jc w:val="center"/>
              <w:rPr>
                <w:b/>
              </w:rPr>
            </w:pPr>
            <w:r w:rsidRPr="00C815E4">
              <w:rPr>
                <w:b/>
              </w:rPr>
              <w:t>Reference Limits for PSA</w:t>
            </w:r>
          </w:p>
        </w:tc>
      </w:tr>
      <w:tr w:rsidR="00C815E4" w:rsidTr="00C815E4">
        <w:tc>
          <w:tcPr>
            <w:tcW w:w="3402" w:type="dxa"/>
            <w:tcBorders>
              <w:top w:val="double" w:sz="4" w:space="0" w:color="auto"/>
              <w:left w:val="double" w:sz="4" w:space="0" w:color="auto"/>
              <w:bottom w:val="double" w:sz="4" w:space="0" w:color="auto"/>
              <w:right w:val="double" w:sz="4" w:space="0" w:color="auto"/>
            </w:tcBorders>
          </w:tcPr>
          <w:p w:rsidR="00C815E4" w:rsidRDefault="00C815E4" w:rsidP="00C815E4">
            <w:pPr>
              <w:jc w:val="center"/>
            </w:pPr>
            <w:r>
              <w:t>Age Group</w:t>
            </w:r>
          </w:p>
        </w:tc>
        <w:tc>
          <w:tcPr>
            <w:tcW w:w="3686" w:type="dxa"/>
            <w:tcBorders>
              <w:top w:val="double" w:sz="4" w:space="0" w:color="auto"/>
              <w:left w:val="double" w:sz="4" w:space="0" w:color="auto"/>
              <w:bottom w:val="double" w:sz="4" w:space="0" w:color="auto"/>
              <w:right w:val="double" w:sz="4" w:space="0" w:color="auto"/>
            </w:tcBorders>
          </w:tcPr>
          <w:p w:rsidR="00C815E4" w:rsidRDefault="00C815E4" w:rsidP="00C815E4">
            <w:pPr>
              <w:jc w:val="center"/>
            </w:pPr>
            <w:r>
              <w:t>Reference Limit</w:t>
            </w:r>
          </w:p>
        </w:tc>
      </w:tr>
      <w:tr w:rsidR="00C815E4" w:rsidTr="00C815E4">
        <w:tc>
          <w:tcPr>
            <w:tcW w:w="3402" w:type="dxa"/>
            <w:tcBorders>
              <w:left w:val="double" w:sz="4" w:space="0" w:color="auto"/>
            </w:tcBorders>
          </w:tcPr>
          <w:p w:rsidR="00C815E4" w:rsidRDefault="00C815E4" w:rsidP="00C815E4">
            <w:pPr>
              <w:jc w:val="center"/>
            </w:pPr>
            <w:r>
              <w:t>50 – 59 years</w:t>
            </w:r>
          </w:p>
        </w:tc>
        <w:tc>
          <w:tcPr>
            <w:tcW w:w="3686" w:type="dxa"/>
            <w:tcBorders>
              <w:right w:val="double" w:sz="4" w:space="0" w:color="auto"/>
            </w:tcBorders>
          </w:tcPr>
          <w:p w:rsidR="00C815E4" w:rsidRDefault="00FE3DCC" w:rsidP="00C815E4">
            <w:pPr>
              <w:jc w:val="center"/>
            </w:pPr>
            <w:r>
              <w:t>&lt;</w:t>
            </w:r>
            <w:r w:rsidR="00A348D8">
              <w:t xml:space="preserve"> 3.0 ng</w:t>
            </w:r>
            <w:r w:rsidR="00C815E4">
              <w:t>/</w:t>
            </w:r>
            <w:r w:rsidR="00A348D8">
              <w:t>m</w:t>
            </w:r>
            <w:r w:rsidR="00C815E4">
              <w:t>L</w:t>
            </w:r>
          </w:p>
        </w:tc>
      </w:tr>
      <w:tr w:rsidR="00C815E4" w:rsidTr="00C815E4">
        <w:tc>
          <w:tcPr>
            <w:tcW w:w="3402" w:type="dxa"/>
            <w:tcBorders>
              <w:left w:val="double" w:sz="4" w:space="0" w:color="auto"/>
            </w:tcBorders>
          </w:tcPr>
          <w:p w:rsidR="00C815E4" w:rsidRDefault="00C815E4" w:rsidP="00C815E4">
            <w:pPr>
              <w:jc w:val="center"/>
            </w:pPr>
            <w:r>
              <w:t>60 – 69 years</w:t>
            </w:r>
          </w:p>
        </w:tc>
        <w:tc>
          <w:tcPr>
            <w:tcW w:w="3686" w:type="dxa"/>
            <w:tcBorders>
              <w:right w:val="double" w:sz="4" w:space="0" w:color="auto"/>
            </w:tcBorders>
          </w:tcPr>
          <w:p w:rsidR="00C815E4" w:rsidRDefault="00FE3DCC" w:rsidP="00C815E4">
            <w:pPr>
              <w:jc w:val="center"/>
            </w:pPr>
            <w:r>
              <w:t>&lt;</w:t>
            </w:r>
            <w:r w:rsidR="00A348D8">
              <w:t xml:space="preserve"> 4.0 ng/m</w:t>
            </w:r>
            <w:r w:rsidR="00C815E4">
              <w:t>L</w:t>
            </w:r>
          </w:p>
        </w:tc>
      </w:tr>
      <w:tr w:rsidR="00C815E4" w:rsidTr="00C815E4">
        <w:tc>
          <w:tcPr>
            <w:tcW w:w="3402" w:type="dxa"/>
            <w:tcBorders>
              <w:left w:val="double" w:sz="4" w:space="0" w:color="auto"/>
              <w:bottom w:val="double" w:sz="4" w:space="0" w:color="auto"/>
            </w:tcBorders>
          </w:tcPr>
          <w:p w:rsidR="00C815E4" w:rsidRDefault="00C815E4" w:rsidP="00C815E4">
            <w:pPr>
              <w:jc w:val="center"/>
            </w:pPr>
            <w:r>
              <w:t>&gt;70 years</w:t>
            </w:r>
          </w:p>
        </w:tc>
        <w:tc>
          <w:tcPr>
            <w:tcW w:w="3686" w:type="dxa"/>
            <w:tcBorders>
              <w:bottom w:val="double" w:sz="4" w:space="0" w:color="auto"/>
              <w:right w:val="double" w:sz="4" w:space="0" w:color="auto"/>
            </w:tcBorders>
          </w:tcPr>
          <w:p w:rsidR="00C815E4" w:rsidRDefault="00FE3DCC" w:rsidP="00C815E4">
            <w:pPr>
              <w:jc w:val="center"/>
            </w:pPr>
            <w:r>
              <w:t>&lt;</w:t>
            </w:r>
            <w:r w:rsidR="00A348D8">
              <w:t xml:space="preserve"> 5.0 n</w:t>
            </w:r>
            <w:r w:rsidR="00C815E4">
              <w:t>g/</w:t>
            </w:r>
            <w:r w:rsidR="00A348D8">
              <w:t>m</w:t>
            </w:r>
            <w:r w:rsidR="00C815E4">
              <w:t>L</w:t>
            </w:r>
          </w:p>
        </w:tc>
      </w:tr>
    </w:tbl>
    <w:p w:rsidR="00321217" w:rsidRDefault="00321217" w:rsidP="00203945">
      <w:pPr>
        <w:jc w:val="both"/>
      </w:pPr>
    </w:p>
    <w:p w:rsidR="00321217" w:rsidRDefault="00321217">
      <w:pPr>
        <w:rPr>
          <w:b/>
          <w:sz w:val="28"/>
        </w:rPr>
      </w:pPr>
    </w:p>
    <w:p w:rsidR="00EA36C9" w:rsidRDefault="00EA36C9">
      <w:pPr>
        <w:rPr>
          <w:b/>
          <w:sz w:val="28"/>
        </w:rPr>
      </w:pPr>
      <w:r>
        <w:rPr>
          <w:b/>
          <w:sz w:val="28"/>
        </w:rPr>
        <w:br w:type="page"/>
      </w:r>
    </w:p>
    <w:p w:rsidR="00112838" w:rsidRDefault="00112838" w:rsidP="00EA36C9">
      <w:pPr>
        <w:jc w:val="both"/>
        <w:rPr>
          <w:b/>
          <w:sz w:val="28"/>
        </w:rPr>
      </w:pPr>
      <w:r w:rsidRPr="00203945">
        <w:rPr>
          <w:b/>
          <w:sz w:val="28"/>
        </w:rPr>
        <w:lastRenderedPageBreak/>
        <w:t>Thyroid Function Tests</w:t>
      </w:r>
    </w:p>
    <w:p w:rsidR="00FC7B8A" w:rsidRPr="00FC7B8A" w:rsidRDefault="00FC7B8A" w:rsidP="00EA36C9">
      <w:pPr>
        <w:jc w:val="both"/>
        <w:rPr>
          <w:color w:val="FF0000"/>
        </w:rPr>
      </w:pPr>
      <w:r>
        <w:t xml:space="preserve">There will be changes in reference ranges for TSH, FT4 and FT3. The changes are summarised in the table below. </w:t>
      </w:r>
      <w:r w:rsidR="009811AA" w:rsidRPr="00EA36C9">
        <w:t xml:space="preserve">Specific pregnancy and paediatric </w:t>
      </w:r>
      <w:r w:rsidR="00EA36C9">
        <w:t xml:space="preserve">related </w:t>
      </w:r>
      <w:r w:rsidR="009811AA" w:rsidRPr="00EA36C9">
        <w:t xml:space="preserve">reference ranges will be applied to reports where appropriate. </w:t>
      </w:r>
      <w:r w:rsidR="00A95DA5">
        <w:t xml:space="preserve">These </w:t>
      </w:r>
      <w:r w:rsidR="00AF19A4">
        <w:t xml:space="preserve">new </w:t>
      </w:r>
      <w:r w:rsidR="00A95DA5">
        <w:t>reference ranges originate from an extensive study performed by Roche diagnostics.</w:t>
      </w:r>
    </w:p>
    <w:tbl>
      <w:tblPr>
        <w:tblStyle w:val="TableGrid"/>
        <w:tblW w:w="0" w:type="auto"/>
        <w:tblInd w:w="108" w:type="dxa"/>
        <w:tblLook w:val="04A0" w:firstRow="1" w:lastRow="0" w:firstColumn="1" w:lastColumn="0" w:noHBand="0" w:noVBand="1"/>
      </w:tblPr>
      <w:tblGrid>
        <w:gridCol w:w="2972"/>
        <w:gridCol w:w="3081"/>
        <w:gridCol w:w="3081"/>
      </w:tblGrid>
      <w:tr w:rsidR="00746FEC" w:rsidTr="008C37D4">
        <w:tc>
          <w:tcPr>
            <w:tcW w:w="9134" w:type="dxa"/>
            <w:gridSpan w:val="3"/>
            <w:tcBorders>
              <w:top w:val="double" w:sz="4" w:space="0" w:color="auto"/>
              <w:left w:val="double" w:sz="4" w:space="0" w:color="auto"/>
              <w:bottom w:val="double" w:sz="4" w:space="0" w:color="auto"/>
              <w:right w:val="double" w:sz="4" w:space="0" w:color="auto"/>
            </w:tcBorders>
          </w:tcPr>
          <w:p w:rsidR="00746FEC" w:rsidRPr="00D47B7A" w:rsidRDefault="00746FEC" w:rsidP="008C37D4">
            <w:pPr>
              <w:jc w:val="center"/>
              <w:rPr>
                <w:b/>
              </w:rPr>
            </w:pPr>
            <w:r w:rsidRPr="00D47B7A">
              <w:rPr>
                <w:b/>
              </w:rPr>
              <w:t>Changes in Reference Ranges</w:t>
            </w:r>
            <w:r w:rsidR="00EA36C9">
              <w:rPr>
                <w:b/>
              </w:rPr>
              <w:t xml:space="preserve"> (Adults)</w:t>
            </w:r>
          </w:p>
        </w:tc>
      </w:tr>
      <w:tr w:rsidR="00746FEC" w:rsidTr="008C37D4">
        <w:tc>
          <w:tcPr>
            <w:tcW w:w="2972" w:type="dxa"/>
            <w:tcBorders>
              <w:top w:val="double" w:sz="4" w:space="0" w:color="auto"/>
              <w:left w:val="double" w:sz="4" w:space="0" w:color="auto"/>
              <w:bottom w:val="double" w:sz="4" w:space="0" w:color="auto"/>
              <w:right w:val="double" w:sz="4" w:space="0" w:color="auto"/>
            </w:tcBorders>
          </w:tcPr>
          <w:p w:rsidR="00746FEC" w:rsidRDefault="00746FEC" w:rsidP="008C37D4">
            <w:pPr>
              <w:jc w:val="center"/>
            </w:pPr>
            <w:r>
              <w:t>Assay</w:t>
            </w:r>
          </w:p>
        </w:tc>
        <w:tc>
          <w:tcPr>
            <w:tcW w:w="3081" w:type="dxa"/>
            <w:tcBorders>
              <w:top w:val="double" w:sz="4" w:space="0" w:color="auto"/>
              <w:left w:val="double" w:sz="4" w:space="0" w:color="auto"/>
              <w:bottom w:val="double" w:sz="4" w:space="0" w:color="auto"/>
              <w:right w:val="double" w:sz="4" w:space="0" w:color="auto"/>
            </w:tcBorders>
          </w:tcPr>
          <w:p w:rsidR="00746FEC" w:rsidRDefault="00746FEC" w:rsidP="008C37D4">
            <w:pPr>
              <w:jc w:val="center"/>
            </w:pPr>
            <w:r>
              <w:t>Current Reference Range</w:t>
            </w:r>
          </w:p>
        </w:tc>
        <w:tc>
          <w:tcPr>
            <w:tcW w:w="3081" w:type="dxa"/>
            <w:tcBorders>
              <w:top w:val="double" w:sz="4" w:space="0" w:color="auto"/>
              <w:left w:val="double" w:sz="4" w:space="0" w:color="auto"/>
              <w:bottom w:val="double" w:sz="4" w:space="0" w:color="auto"/>
              <w:right w:val="double" w:sz="4" w:space="0" w:color="auto"/>
            </w:tcBorders>
          </w:tcPr>
          <w:p w:rsidR="00746FEC" w:rsidRDefault="00746FEC" w:rsidP="008C37D4">
            <w:pPr>
              <w:jc w:val="center"/>
            </w:pPr>
            <w:r>
              <w:t>New Reference Range</w:t>
            </w:r>
          </w:p>
        </w:tc>
      </w:tr>
      <w:tr w:rsidR="00746FEC" w:rsidTr="008C37D4">
        <w:tc>
          <w:tcPr>
            <w:tcW w:w="2972" w:type="dxa"/>
            <w:tcBorders>
              <w:top w:val="double" w:sz="4" w:space="0" w:color="auto"/>
              <w:left w:val="double" w:sz="4" w:space="0" w:color="auto"/>
            </w:tcBorders>
          </w:tcPr>
          <w:p w:rsidR="00746FEC" w:rsidRDefault="00746FEC" w:rsidP="008C37D4">
            <w:pPr>
              <w:jc w:val="center"/>
            </w:pPr>
            <w:r>
              <w:t xml:space="preserve">TSH </w:t>
            </w:r>
          </w:p>
        </w:tc>
        <w:tc>
          <w:tcPr>
            <w:tcW w:w="3081" w:type="dxa"/>
            <w:tcBorders>
              <w:top w:val="double" w:sz="4" w:space="0" w:color="auto"/>
            </w:tcBorders>
          </w:tcPr>
          <w:p w:rsidR="00746FEC" w:rsidRDefault="00FC7B8A" w:rsidP="008C37D4">
            <w:pPr>
              <w:jc w:val="center"/>
            </w:pPr>
            <w:r>
              <w:t xml:space="preserve">0.55 – 4.8 </w:t>
            </w:r>
            <w:proofErr w:type="spellStart"/>
            <w:r>
              <w:t>mU</w:t>
            </w:r>
            <w:proofErr w:type="spellEnd"/>
            <w:r>
              <w:t>/L</w:t>
            </w:r>
          </w:p>
        </w:tc>
        <w:tc>
          <w:tcPr>
            <w:tcW w:w="3081" w:type="dxa"/>
            <w:tcBorders>
              <w:top w:val="double" w:sz="4" w:space="0" w:color="auto"/>
              <w:right w:val="double" w:sz="4" w:space="0" w:color="auto"/>
            </w:tcBorders>
          </w:tcPr>
          <w:p w:rsidR="00746FEC" w:rsidRDefault="00EA36C9" w:rsidP="008C37D4">
            <w:pPr>
              <w:jc w:val="center"/>
            </w:pPr>
            <w:r>
              <w:t>0.27 – 4.2</w:t>
            </w:r>
            <w:r w:rsidR="002E7146">
              <w:t xml:space="preserve"> </w:t>
            </w:r>
            <w:proofErr w:type="spellStart"/>
            <w:r w:rsidR="002E7146">
              <w:t>mU</w:t>
            </w:r>
            <w:proofErr w:type="spellEnd"/>
            <w:r w:rsidR="002E7146">
              <w:t>/L</w:t>
            </w:r>
          </w:p>
        </w:tc>
      </w:tr>
      <w:tr w:rsidR="00746FEC" w:rsidTr="008C37D4">
        <w:tc>
          <w:tcPr>
            <w:tcW w:w="2972" w:type="dxa"/>
            <w:tcBorders>
              <w:left w:val="double" w:sz="4" w:space="0" w:color="auto"/>
              <w:bottom w:val="single" w:sz="4" w:space="0" w:color="auto"/>
            </w:tcBorders>
          </w:tcPr>
          <w:p w:rsidR="00746FEC" w:rsidRDefault="00746FEC" w:rsidP="008C37D4">
            <w:pPr>
              <w:jc w:val="center"/>
            </w:pPr>
            <w:r>
              <w:t>FT4</w:t>
            </w:r>
          </w:p>
        </w:tc>
        <w:tc>
          <w:tcPr>
            <w:tcW w:w="3081" w:type="dxa"/>
            <w:tcBorders>
              <w:bottom w:val="single" w:sz="4" w:space="0" w:color="auto"/>
            </w:tcBorders>
          </w:tcPr>
          <w:p w:rsidR="00746FEC" w:rsidRDefault="00FC7B8A" w:rsidP="008C37D4">
            <w:pPr>
              <w:jc w:val="center"/>
            </w:pPr>
            <w:r>
              <w:t>9 – 23 pmol/L</w:t>
            </w:r>
          </w:p>
        </w:tc>
        <w:tc>
          <w:tcPr>
            <w:tcW w:w="3081" w:type="dxa"/>
            <w:tcBorders>
              <w:bottom w:val="single" w:sz="4" w:space="0" w:color="auto"/>
              <w:right w:val="double" w:sz="4" w:space="0" w:color="auto"/>
            </w:tcBorders>
          </w:tcPr>
          <w:p w:rsidR="00746FEC" w:rsidRDefault="002E7146" w:rsidP="008C37D4">
            <w:pPr>
              <w:jc w:val="center"/>
            </w:pPr>
            <w:r>
              <w:t>12 – 22 pmol/L</w:t>
            </w:r>
          </w:p>
        </w:tc>
      </w:tr>
      <w:tr w:rsidR="00746FEC" w:rsidTr="008C37D4">
        <w:tc>
          <w:tcPr>
            <w:tcW w:w="2972" w:type="dxa"/>
            <w:tcBorders>
              <w:left w:val="double" w:sz="4" w:space="0" w:color="auto"/>
              <w:bottom w:val="double" w:sz="4" w:space="0" w:color="auto"/>
            </w:tcBorders>
          </w:tcPr>
          <w:p w:rsidR="00746FEC" w:rsidRDefault="00746FEC" w:rsidP="008C37D4">
            <w:pPr>
              <w:jc w:val="center"/>
            </w:pPr>
            <w:r>
              <w:t>FT3</w:t>
            </w:r>
          </w:p>
        </w:tc>
        <w:tc>
          <w:tcPr>
            <w:tcW w:w="3081" w:type="dxa"/>
            <w:tcBorders>
              <w:bottom w:val="double" w:sz="4" w:space="0" w:color="auto"/>
            </w:tcBorders>
          </w:tcPr>
          <w:p w:rsidR="00746FEC" w:rsidRDefault="00FC7B8A" w:rsidP="008C37D4">
            <w:pPr>
              <w:jc w:val="center"/>
            </w:pPr>
            <w:r>
              <w:t>3.5 – 6.5 pmol/L</w:t>
            </w:r>
          </w:p>
        </w:tc>
        <w:tc>
          <w:tcPr>
            <w:tcW w:w="3081" w:type="dxa"/>
            <w:tcBorders>
              <w:bottom w:val="double" w:sz="4" w:space="0" w:color="auto"/>
              <w:right w:val="double" w:sz="4" w:space="0" w:color="auto"/>
            </w:tcBorders>
          </w:tcPr>
          <w:p w:rsidR="002E7146" w:rsidRDefault="002E7146" w:rsidP="002E7146">
            <w:pPr>
              <w:jc w:val="center"/>
            </w:pPr>
            <w:r>
              <w:t>3.1 – 6.8 pmol/L</w:t>
            </w:r>
          </w:p>
        </w:tc>
      </w:tr>
    </w:tbl>
    <w:p w:rsidR="00112838" w:rsidRDefault="00112838" w:rsidP="005C4157">
      <w:pPr>
        <w:jc w:val="both"/>
      </w:pPr>
    </w:p>
    <w:p w:rsidR="00782C38" w:rsidRDefault="005C4157" w:rsidP="005C4157">
      <w:pPr>
        <w:jc w:val="both"/>
      </w:pPr>
      <w:r>
        <w:t xml:space="preserve">The change in TSH reference range will </w:t>
      </w:r>
      <w:r w:rsidR="00AF19A4">
        <w:t>mean you may see more patients with slightly elevated</w:t>
      </w:r>
      <w:r>
        <w:t xml:space="preserve"> TSH results.</w:t>
      </w:r>
      <w:r w:rsidR="00AF19A4">
        <w:t xml:space="preserve"> </w:t>
      </w:r>
      <w:r>
        <w:t xml:space="preserve"> </w:t>
      </w:r>
      <w:r w:rsidR="00590E91">
        <w:t>National guidance</w:t>
      </w:r>
      <w:r w:rsidR="009B3FBE">
        <w:rPr>
          <w:vertAlign w:val="superscript"/>
        </w:rPr>
        <w:t>1</w:t>
      </w:r>
      <w:r w:rsidR="00AF19A4">
        <w:t xml:space="preserve"> recommends that patients with borderline-raised</w:t>
      </w:r>
      <w:r w:rsidR="00A95DA5">
        <w:t xml:space="preserve"> TSH results</w:t>
      </w:r>
      <w:r w:rsidR="00AF19A4">
        <w:t xml:space="preserve"> should be repeated</w:t>
      </w:r>
      <w:r w:rsidR="007363FA">
        <w:t xml:space="preserve"> after an appropriate time interval; </w:t>
      </w:r>
      <w:r w:rsidR="00A95DA5">
        <w:t>w</w:t>
      </w:r>
      <w:r>
        <w:t xml:space="preserve">e will continue to </w:t>
      </w:r>
      <w:r w:rsidR="00782C38">
        <w:t>recommend</w:t>
      </w:r>
      <w:r w:rsidR="00A95DA5">
        <w:t xml:space="preserve"> repeat</w:t>
      </w:r>
      <w:r w:rsidR="00782C38">
        <w:t xml:space="preserve"> testing</w:t>
      </w:r>
      <w:r w:rsidR="00A95DA5">
        <w:t xml:space="preserve"> in 4 – 6 weeks</w:t>
      </w:r>
      <w:r>
        <w:t>.</w:t>
      </w:r>
      <w:r w:rsidR="00461379">
        <w:t xml:space="preserve"> </w:t>
      </w:r>
      <w:r>
        <w:t xml:space="preserve"> </w:t>
      </w:r>
      <w:r w:rsidR="007363FA">
        <w:t>T</w:t>
      </w:r>
      <w:r>
        <w:t>he laboratory will add on TPO antibodies</w:t>
      </w:r>
      <w:r w:rsidR="007363FA">
        <w:t xml:space="preserve"> to persistently elevated TSH results</w:t>
      </w:r>
      <w:r>
        <w:t xml:space="preserve"> and comment appropriately to </w:t>
      </w:r>
      <w:r w:rsidR="00A95DA5">
        <w:t xml:space="preserve">help guide patient </w:t>
      </w:r>
      <w:r w:rsidR="007363FA">
        <w:t xml:space="preserve">management. </w:t>
      </w:r>
    </w:p>
    <w:p w:rsidR="005C4157" w:rsidRDefault="00782C38" w:rsidP="005C4157">
      <w:pPr>
        <w:jc w:val="both"/>
        <w:rPr>
          <w:rFonts w:ascii="Arial" w:eastAsia="Times New Roman" w:hAnsi="Arial" w:cs="Times New Roman"/>
          <w:color w:val="0000FF"/>
          <w:szCs w:val="20"/>
          <w:u w:val="single"/>
        </w:rPr>
      </w:pPr>
      <w:r>
        <w:t>The change in TSH reference range will mean you may see fewer patients with slightly low TSH results.  A</w:t>
      </w:r>
      <w:r w:rsidR="00C137A0">
        <w:t xml:space="preserve"> clinical audit performed </w:t>
      </w:r>
      <w:r w:rsidR="004F0A96">
        <w:t xml:space="preserve">within the laboratory </w:t>
      </w:r>
      <w:r w:rsidR="00C137A0">
        <w:t>revealed that only a very small percentage of patients (0.9%) with TSH results between 0.1 and 0.55</w:t>
      </w:r>
      <w:r>
        <w:t>mU/L</w:t>
      </w:r>
      <w:r w:rsidR="00C137A0">
        <w:t xml:space="preserve"> (the lower limit of our current reference range) had abnormal FT4 levels indicative of overt thyroid disease. </w:t>
      </w:r>
      <w:r w:rsidR="00A95DA5">
        <w:t xml:space="preserve">Common causes of </w:t>
      </w:r>
      <w:r w:rsidR="00793857">
        <w:t xml:space="preserve">low </w:t>
      </w:r>
      <w:r w:rsidR="00A95DA5">
        <w:t>TSH levels include non-thyroidal illness</w:t>
      </w:r>
      <w:r w:rsidR="00793857">
        <w:t xml:space="preserve"> and medication e.g. glucocorticoids and dopamine. These causes should be excluded </w:t>
      </w:r>
      <w:r w:rsidR="004F0A96">
        <w:t xml:space="preserve">first </w:t>
      </w:r>
      <w:r w:rsidR="00793857">
        <w:t xml:space="preserve">before subclinical thyroid disease is considered. </w:t>
      </w:r>
      <w:r w:rsidR="00A95DA5">
        <w:t xml:space="preserve"> </w:t>
      </w:r>
      <w:r w:rsidR="00793857">
        <w:t>It is also important to note that l</w:t>
      </w:r>
      <w:r w:rsidR="008A5D8E">
        <w:t xml:space="preserve">ow TSH levels are a common finding in the elderly without </w:t>
      </w:r>
      <w:r w:rsidR="004F0A96">
        <w:t xml:space="preserve">the presence of </w:t>
      </w:r>
      <w:r w:rsidR="008A5D8E">
        <w:t xml:space="preserve">identifiable thyroid disease. </w:t>
      </w:r>
      <w:r w:rsidR="00793857">
        <w:t xml:space="preserve">We will continue to add on FT3 levels and comment where appropriate. For further guidance on the interpretation of thyroid function tests please refer to </w:t>
      </w:r>
      <w:hyperlink r:id="rId14" w:history="1">
        <w:r w:rsidR="00793857" w:rsidRPr="00793857">
          <w:rPr>
            <w:rFonts w:eastAsia="Times New Roman" w:cs="Times New Roman"/>
            <w:color w:val="0000FF"/>
            <w:szCs w:val="20"/>
            <w:u w:val="single"/>
          </w:rPr>
          <w:t>http://www.british-thyroid-association.org/</w:t>
        </w:r>
      </w:hyperlink>
      <w:r w:rsidR="00793857" w:rsidRPr="00793857">
        <w:rPr>
          <w:rFonts w:eastAsia="Times New Roman" w:cs="Times New Roman"/>
          <w:color w:val="0000FF"/>
          <w:szCs w:val="20"/>
          <w:u w:val="single"/>
        </w:rPr>
        <w:t>.</w:t>
      </w:r>
      <w:r w:rsidR="00793857">
        <w:rPr>
          <w:rFonts w:ascii="Arial" w:eastAsia="Times New Roman" w:hAnsi="Arial" w:cs="Times New Roman"/>
          <w:color w:val="0000FF"/>
          <w:szCs w:val="20"/>
          <w:u w:val="single"/>
        </w:rPr>
        <w:t xml:space="preserve"> </w:t>
      </w:r>
    </w:p>
    <w:p w:rsidR="00782C38" w:rsidRDefault="00782C38" w:rsidP="005C4157">
      <w:pPr>
        <w:jc w:val="both"/>
      </w:pPr>
      <w:r>
        <w:t>Please help us to help you by telling us on the request form if y</w:t>
      </w:r>
      <w:r w:rsidR="00CF0EF3">
        <w:t>our patient is taking thyroxine</w:t>
      </w:r>
      <w:r>
        <w:t xml:space="preserve"> or other thyroid-modifying drugs.</w:t>
      </w:r>
    </w:p>
    <w:p w:rsidR="00793857" w:rsidRPr="00BE1418" w:rsidRDefault="00590E91" w:rsidP="00CF0EF3">
      <w:pPr>
        <w:jc w:val="both"/>
      </w:pPr>
      <w:r>
        <w:t>[1]</w:t>
      </w:r>
      <w:r w:rsidR="00CF0EF3">
        <w:t xml:space="preserve"> </w:t>
      </w:r>
      <w:r w:rsidR="00BE1418">
        <w:t>UK Guidelines for the Use of Thyroid Function Tests</w:t>
      </w:r>
      <w:r w:rsidR="007363FA">
        <w:t xml:space="preserve"> (</w:t>
      </w:r>
      <w:hyperlink r:id="rId15" w:history="1">
        <w:r w:rsidR="007363FA" w:rsidRPr="00A5685A">
          <w:rPr>
            <w:rStyle w:val="Hyperlink"/>
          </w:rPr>
          <w:t>http://www.acb.org.uk/docs/default-source/guidelines/TFTguidelinefinal.pdf</w:t>
        </w:r>
      </w:hyperlink>
      <w:r>
        <w:t xml:space="preserve"> </w:t>
      </w:r>
      <w:r w:rsidR="007363FA">
        <w:t xml:space="preserve"> Accessed 19/07/2017</w:t>
      </w:r>
      <w:r>
        <w:t>)</w:t>
      </w:r>
    </w:p>
    <w:p w:rsidR="007E4563" w:rsidRDefault="007E4563">
      <w:pPr>
        <w:rPr>
          <w:b/>
          <w:i/>
        </w:rPr>
      </w:pPr>
    </w:p>
    <w:p w:rsidR="005C4157" w:rsidRPr="005C4157" w:rsidRDefault="005C4157">
      <w:pPr>
        <w:rPr>
          <w:b/>
          <w:i/>
        </w:rPr>
      </w:pPr>
      <w:r w:rsidRPr="005C4157">
        <w:rPr>
          <w:b/>
          <w:i/>
        </w:rPr>
        <w:t>TPO</w:t>
      </w:r>
      <w:r w:rsidR="00590E91">
        <w:rPr>
          <w:b/>
          <w:i/>
        </w:rPr>
        <w:t xml:space="preserve"> Antibodies</w:t>
      </w:r>
    </w:p>
    <w:p w:rsidR="00746FEC" w:rsidRPr="00112017" w:rsidRDefault="00112017" w:rsidP="00EA36C9">
      <w:pPr>
        <w:jc w:val="both"/>
      </w:pPr>
      <w:r>
        <w:t xml:space="preserve">Numerical values for TPO antibodies </w:t>
      </w:r>
      <w:r w:rsidR="009B3FBE">
        <w:t xml:space="preserve">between the old and new methods </w:t>
      </w:r>
      <w:r>
        <w:t>will not be comparable.  However, results should be interpreted as positive or negative based on the new cut-off provided on reports.  Repeat measurement of positive TPO antibodies is not informative.  Negative antibodies should no</w:t>
      </w:r>
      <w:r w:rsidR="00637BEB">
        <w:t>t be repeated within 12 months.</w:t>
      </w:r>
      <w:r>
        <w:t xml:space="preserve"> </w:t>
      </w:r>
    </w:p>
    <w:p w:rsidR="00793857" w:rsidRDefault="00793857">
      <w:pPr>
        <w:rPr>
          <w:b/>
          <w:sz w:val="28"/>
        </w:rPr>
      </w:pPr>
      <w:r>
        <w:rPr>
          <w:b/>
          <w:sz w:val="28"/>
        </w:rPr>
        <w:br w:type="page"/>
      </w:r>
    </w:p>
    <w:p w:rsidR="00112838" w:rsidRDefault="00E07827">
      <w:pPr>
        <w:rPr>
          <w:b/>
          <w:sz w:val="28"/>
        </w:rPr>
      </w:pPr>
      <w:r>
        <w:rPr>
          <w:b/>
          <w:sz w:val="28"/>
        </w:rPr>
        <w:lastRenderedPageBreak/>
        <w:t>Ferritin</w:t>
      </w:r>
    </w:p>
    <w:p w:rsidR="00FB23B8" w:rsidRPr="00FB23B8" w:rsidRDefault="005779CF" w:rsidP="00FB23B8">
      <w:pPr>
        <w:jc w:val="both"/>
      </w:pPr>
      <w:r>
        <w:t xml:space="preserve">The </w:t>
      </w:r>
      <w:r w:rsidR="002E7146">
        <w:t>reference ranges for ferritin</w:t>
      </w:r>
      <w:r>
        <w:t xml:space="preserve"> will change</w:t>
      </w:r>
      <w:r w:rsidR="002E7146">
        <w:t>. The</w:t>
      </w:r>
      <w:r>
        <w:t>se</w:t>
      </w:r>
      <w:r w:rsidR="002E7146">
        <w:t xml:space="preserve"> changes are summarised in the table below. </w:t>
      </w:r>
    </w:p>
    <w:tbl>
      <w:tblPr>
        <w:tblStyle w:val="TableGrid"/>
        <w:tblW w:w="0" w:type="auto"/>
        <w:tblInd w:w="108" w:type="dxa"/>
        <w:tblLook w:val="04A0" w:firstRow="1" w:lastRow="0" w:firstColumn="1" w:lastColumn="0" w:noHBand="0" w:noVBand="1"/>
      </w:tblPr>
      <w:tblGrid>
        <w:gridCol w:w="4513"/>
        <w:gridCol w:w="4621"/>
      </w:tblGrid>
      <w:tr w:rsidR="00E07827" w:rsidTr="00C815E4">
        <w:tc>
          <w:tcPr>
            <w:tcW w:w="9134" w:type="dxa"/>
            <w:gridSpan w:val="2"/>
            <w:tcBorders>
              <w:top w:val="double" w:sz="4" w:space="0" w:color="auto"/>
              <w:left w:val="double" w:sz="4" w:space="0" w:color="auto"/>
              <w:bottom w:val="double" w:sz="4" w:space="0" w:color="auto"/>
              <w:right w:val="double" w:sz="4" w:space="0" w:color="auto"/>
            </w:tcBorders>
          </w:tcPr>
          <w:p w:rsidR="00E07827" w:rsidRPr="00E07827" w:rsidRDefault="00E07827" w:rsidP="00E07827">
            <w:pPr>
              <w:jc w:val="center"/>
              <w:rPr>
                <w:b/>
              </w:rPr>
            </w:pPr>
            <w:r w:rsidRPr="00E07827">
              <w:rPr>
                <w:b/>
              </w:rPr>
              <w:t>Changes in Reference Ranges for Ferritin</w:t>
            </w:r>
          </w:p>
        </w:tc>
      </w:tr>
      <w:tr w:rsidR="00E07827" w:rsidTr="00C815E4">
        <w:tc>
          <w:tcPr>
            <w:tcW w:w="4513" w:type="dxa"/>
            <w:tcBorders>
              <w:top w:val="double" w:sz="4" w:space="0" w:color="auto"/>
              <w:left w:val="double" w:sz="4" w:space="0" w:color="auto"/>
              <w:bottom w:val="double" w:sz="4" w:space="0" w:color="auto"/>
              <w:right w:val="double" w:sz="4" w:space="0" w:color="auto"/>
            </w:tcBorders>
          </w:tcPr>
          <w:p w:rsidR="00E07827" w:rsidRDefault="00E07827" w:rsidP="00E07827">
            <w:pPr>
              <w:jc w:val="center"/>
            </w:pPr>
            <w:r>
              <w:t>Current Reference Range</w:t>
            </w:r>
            <w:r w:rsidR="00FB23B8">
              <w:t>s</w:t>
            </w:r>
          </w:p>
        </w:tc>
        <w:tc>
          <w:tcPr>
            <w:tcW w:w="4621" w:type="dxa"/>
            <w:tcBorders>
              <w:top w:val="double" w:sz="4" w:space="0" w:color="auto"/>
              <w:left w:val="double" w:sz="4" w:space="0" w:color="auto"/>
              <w:bottom w:val="double" w:sz="4" w:space="0" w:color="auto"/>
              <w:right w:val="double" w:sz="4" w:space="0" w:color="auto"/>
            </w:tcBorders>
          </w:tcPr>
          <w:p w:rsidR="00E07827" w:rsidRDefault="00E07827" w:rsidP="00E07827">
            <w:pPr>
              <w:jc w:val="center"/>
            </w:pPr>
            <w:r>
              <w:t>New Reference Range</w:t>
            </w:r>
            <w:r w:rsidR="00FB23B8">
              <w:t>s</w:t>
            </w:r>
          </w:p>
        </w:tc>
      </w:tr>
      <w:tr w:rsidR="00E07827" w:rsidTr="00C815E4">
        <w:tc>
          <w:tcPr>
            <w:tcW w:w="4513" w:type="dxa"/>
            <w:tcBorders>
              <w:top w:val="double" w:sz="4" w:space="0" w:color="auto"/>
              <w:left w:val="double" w:sz="4" w:space="0" w:color="auto"/>
              <w:bottom w:val="double" w:sz="4" w:space="0" w:color="auto"/>
            </w:tcBorders>
          </w:tcPr>
          <w:p w:rsidR="00E07827" w:rsidRDefault="00E07827" w:rsidP="00E07827">
            <w:pPr>
              <w:jc w:val="center"/>
            </w:pPr>
            <w:r>
              <w:t>Male: 22 – 322 µg/L</w:t>
            </w:r>
          </w:p>
          <w:p w:rsidR="00E07827" w:rsidRDefault="00E07827" w:rsidP="00E07827">
            <w:pPr>
              <w:jc w:val="center"/>
            </w:pPr>
            <w:r>
              <w:t>Female: 20 – 291 µg/L</w:t>
            </w:r>
          </w:p>
        </w:tc>
        <w:tc>
          <w:tcPr>
            <w:tcW w:w="4621" w:type="dxa"/>
            <w:tcBorders>
              <w:top w:val="double" w:sz="4" w:space="0" w:color="auto"/>
              <w:bottom w:val="double" w:sz="4" w:space="0" w:color="auto"/>
              <w:right w:val="double" w:sz="4" w:space="0" w:color="auto"/>
            </w:tcBorders>
          </w:tcPr>
          <w:p w:rsidR="00E07827" w:rsidRDefault="00E07827" w:rsidP="00E07827">
            <w:pPr>
              <w:jc w:val="center"/>
            </w:pPr>
            <w:r>
              <w:t>Male: 30 – 400 µg/L</w:t>
            </w:r>
          </w:p>
          <w:p w:rsidR="00E07827" w:rsidRDefault="00E07827" w:rsidP="00E07827">
            <w:pPr>
              <w:jc w:val="center"/>
            </w:pPr>
            <w:r>
              <w:t>Female: 13 – 150 µg/L</w:t>
            </w:r>
          </w:p>
        </w:tc>
      </w:tr>
    </w:tbl>
    <w:p w:rsidR="00FB23B8" w:rsidRDefault="00FB23B8" w:rsidP="00FB23B8">
      <w:pPr>
        <w:jc w:val="both"/>
      </w:pPr>
    </w:p>
    <w:p w:rsidR="00FB23B8" w:rsidRDefault="00FB23B8" w:rsidP="00FB23B8">
      <w:pPr>
        <w:jc w:val="both"/>
      </w:pPr>
      <w:r>
        <w:t xml:space="preserve">We expect all ferritin results to be approximately 15% higher when using the new assay. Please be mindful of this when using ferritin levels to guide patient management. The </w:t>
      </w:r>
      <w:r w:rsidR="00395388">
        <w:t xml:space="preserve">new </w:t>
      </w:r>
      <w:r w:rsidR="005779CF">
        <w:t>reference range for</w:t>
      </w:r>
      <w:r>
        <w:t xml:space="preserve"> males will be higher to compensate for this. Conversely, the </w:t>
      </w:r>
      <w:r w:rsidR="003D19FE">
        <w:t xml:space="preserve">new </w:t>
      </w:r>
      <w:r>
        <w:t>re</w:t>
      </w:r>
      <w:r w:rsidR="005779CF">
        <w:t>ference range in females is significantly</w:t>
      </w:r>
      <w:r>
        <w:t xml:space="preserve"> lower. The new reference ranges are those quoted by the assay manufacturer. </w:t>
      </w:r>
      <w:r w:rsidR="003D19FE">
        <w:t>We have undertaken f</w:t>
      </w:r>
      <w:r>
        <w:t>urther verification work</w:t>
      </w:r>
      <w:r w:rsidR="003D19FE">
        <w:t xml:space="preserve"> in</w:t>
      </w:r>
      <w:r>
        <w:t xml:space="preserve"> our laboratory which </w:t>
      </w:r>
      <w:r w:rsidR="005779CF">
        <w:t>confirms</w:t>
      </w:r>
      <w:r>
        <w:t xml:space="preserve"> that these reference ranges are appropriate for our patient population. </w:t>
      </w:r>
      <w:r w:rsidR="005779CF">
        <w:t>Please note that the female reference range was</w:t>
      </w:r>
      <w:r w:rsidR="004F0A96">
        <w:t xml:space="preserve"> derived </w:t>
      </w:r>
      <w:r w:rsidR="005779CF">
        <w:t>from a population of mostly pre-menopausal</w:t>
      </w:r>
      <w:r w:rsidR="004F0A96">
        <w:t xml:space="preserve"> </w:t>
      </w:r>
      <w:r w:rsidR="005779CF">
        <w:t>women.</w:t>
      </w:r>
      <w:r w:rsidR="004F0A96">
        <w:t xml:space="preserve"> Further work will be c</w:t>
      </w:r>
      <w:r w:rsidR="005779CF">
        <w:t>arried out</w:t>
      </w:r>
      <w:r w:rsidR="004F0A96">
        <w:t xml:space="preserve"> at a later date to define reference ranges in children and </w:t>
      </w:r>
      <w:r w:rsidR="00395388">
        <w:t>post-menopausal women</w:t>
      </w:r>
      <w:r w:rsidR="004F0A96">
        <w:t>. When interpreting ferritin levels in post-meno</w:t>
      </w:r>
      <w:r w:rsidR="009B3FBE">
        <w:t xml:space="preserve">pausal females please </w:t>
      </w:r>
      <w:proofErr w:type="gramStart"/>
      <w:r w:rsidR="009B3FBE">
        <w:t>be</w:t>
      </w:r>
      <w:proofErr w:type="gramEnd"/>
      <w:r w:rsidR="009B3FBE">
        <w:t xml:space="preserve"> aware</w:t>
      </w:r>
      <w:r w:rsidR="004F0A96">
        <w:t xml:space="preserve"> that levels may be higher in this patient population. </w:t>
      </w:r>
    </w:p>
    <w:p w:rsidR="002D3A89" w:rsidRDefault="00FB23B8" w:rsidP="00FB23B8">
      <w:pPr>
        <w:jc w:val="both"/>
      </w:pPr>
      <w:r>
        <w:t xml:space="preserve">Due to the decrease in reference range for females you may see an increase in the number of elevated ferritin levels in women. We will continue to add iron levels to first time elevated ferritin results to identify genuine cases of iron overload. Interpretive comments will be added where appropriate. </w:t>
      </w:r>
    </w:p>
    <w:p w:rsidR="002E7146" w:rsidRDefault="00FB23B8" w:rsidP="00FB23B8">
      <w:r>
        <w:t xml:space="preserve">For further information on the investigation of hyperferritinaemia please refer to </w:t>
      </w:r>
      <w:r w:rsidR="00E608D3">
        <w:t xml:space="preserve">the Trust website </w:t>
      </w:r>
      <w:r w:rsidR="009E667B">
        <w:rPr>
          <w:color w:val="1F497D" w:themeColor="dark2"/>
        </w:rPr>
        <w:t>(</w:t>
      </w:r>
      <w:hyperlink r:id="rId16" w:history="1">
        <w:r w:rsidR="009E667B">
          <w:rPr>
            <w:rStyle w:val="Hyperlink"/>
          </w:rPr>
          <w:t>https://tinyurl.com/PrimaryCareInfo</w:t>
        </w:r>
      </w:hyperlink>
      <w:r w:rsidR="009E667B">
        <w:rPr>
          <w:color w:val="1F497D" w:themeColor="dark2"/>
        </w:rPr>
        <w:t>).</w:t>
      </w:r>
    </w:p>
    <w:p w:rsidR="00793857" w:rsidRDefault="00793857">
      <w:pPr>
        <w:rPr>
          <w:b/>
          <w:sz w:val="28"/>
        </w:rPr>
      </w:pPr>
    </w:p>
    <w:p w:rsidR="00793857" w:rsidRDefault="00793857">
      <w:pPr>
        <w:rPr>
          <w:b/>
          <w:sz w:val="28"/>
        </w:rPr>
      </w:pPr>
      <w:r>
        <w:rPr>
          <w:b/>
          <w:sz w:val="28"/>
        </w:rPr>
        <w:br w:type="page"/>
      </w:r>
    </w:p>
    <w:p w:rsidR="00112838" w:rsidRDefault="00112838">
      <w:pPr>
        <w:rPr>
          <w:b/>
          <w:sz w:val="28"/>
        </w:rPr>
      </w:pPr>
      <w:r w:rsidRPr="00C815E4">
        <w:rPr>
          <w:b/>
          <w:sz w:val="28"/>
        </w:rPr>
        <w:lastRenderedPageBreak/>
        <w:t>Cortisol</w:t>
      </w:r>
    </w:p>
    <w:p w:rsidR="00746FEC" w:rsidRPr="004925FA" w:rsidRDefault="003E74FA" w:rsidP="004925FA">
      <w:pPr>
        <w:jc w:val="both"/>
        <w:rPr>
          <w:b/>
          <w:sz w:val="28"/>
        </w:rPr>
      </w:pPr>
      <w:r>
        <w:t xml:space="preserve">There will be changes in the reference range for cortisol. The changes are summarised in the table below. </w:t>
      </w:r>
      <w:r w:rsidR="009163ED">
        <w:t>Results will be lower when measured using</w:t>
      </w:r>
      <w:r w:rsidR="00EB7009">
        <w:t xml:space="preserve"> the new assay, but the reference range will also be lower to compensate for this.  </w:t>
      </w:r>
      <w:r w:rsidR="006D2CB3">
        <w:t xml:space="preserve">The new assay is standardised against </w:t>
      </w:r>
      <w:r w:rsidR="00F92728">
        <w:t xml:space="preserve">an international reference material </w:t>
      </w:r>
      <w:r w:rsidR="00EB7009">
        <w:t xml:space="preserve">and </w:t>
      </w:r>
      <w:r w:rsidR="00F92728">
        <w:t xml:space="preserve">compares better with the reference method. </w:t>
      </w:r>
    </w:p>
    <w:tbl>
      <w:tblPr>
        <w:tblStyle w:val="TableGrid"/>
        <w:tblW w:w="0" w:type="auto"/>
        <w:tblInd w:w="108" w:type="dxa"/>
        <w:tblLook w:val="04A0" w:firstRow="1" w:lastRow="0" w:firstColumn="1" w:lastColumn="0" w:noHBand="0" w:noVBand="1"/>
      </w:tblPr>
      <w:tblGrid>
        <w:gridCol w:w="4513"/>
        <w:gridCol w:w="4621"/>
      </w:tblGrid>
      <w:tr w:rsidR="006D2CB3" w:rsidTr="00506FA5">
        <w:tc>
          <w:tcPr>
            <w:tcW w:w="9134" w:type="dxa"/>
            <w:gridSpan w:val="2"/>
            <w:tcBorders>
              <w:top w:val="double" w:sz="4" w:space="0" w:color="auto"/>
              <w:left w:val="double" w:sz="4" w:space="0" w:color="auto"/>
              <w:bottom w:val="double" w:sz="4" w:space="0" w:color="auto"/>
              <w:right w:val="double" w:sz="4" w:space="0" w:color="auto"/>
            </w:tcBorders>
          </w:tcPr>
          <w:p w:rsidR="006D2CB3" w:rsidRPr="00E07827" w:rsidRDefault="006D2CB3" w:rsidP="00506FA5">
            <w:pPr>
              <w:jc w:val="center"/>
              <w:rPr>
                <w:b/>
              </w:rPr>
            </w:pPr>
            <w:r w:rsidRPr="00E07827">
              <w:rPr>
                <w:b/>
              </w:rPr>
              <w:t xml:space="preserve">Changes </w:t>
            </w:r>
            <w:r>
              <w:rPr>
                <w:b/>
              </w:rPr>
              <w:t>in Reference Ranges for Cortisol</w:t>
            </w:r>
          </w:p>
        </w:tc>
      </w:tr>
      <w:tr w:rsidR="006D2CB3" w:rsidTr="00506FA5">
        <w:tc>
          <w:tcPr>
            <w:tcW w:w="4513" w:type="dxa"/>
            <w:tcBorders>
              <w:top w:val="double" w:sz="4" w:space="0" w:color="auto"/>
              <w:left w:val="double" w:sz="4" w:space="0" w:color="auto"/>
              <w:bottom w:val="double" w:sz="4" w:space="0" w:color="auto"/>
              <w:right w:val="double" w:sz="4" w:space="0" w:color="auto"/>
            </w:tcBorders>
          </w:tcPr>
          <w:p w:rsidR="006D2CB3" w:rsidRDefault="006D2CB3" w:rsidP="00506FA5">
            <w:pPr>
              <w:jc w:val="center"/>
            </w:pPr>
            <w:r>
              <w:t>Current Reference Range</w:t>
            </w:r>
          </w:p>
        </w:tc>
        <w:tc>
          <w:tcPr>
            <w:tcW w:w="4621" w:type="dxa"/>
            <w:tcBorders>
              <w:top w:val="double" w:sz="4" w:space="0" w:color="auto"/>
              <w:left w:val="double" w:sz="4" w:space="0" w:color="auto"/>
              <w:bottom w:val="double" w:sz="4" w:space="0" w:color="auto"/>
              <w:right w:val="double" w:sz="4" w:space="0" w:color="auto"/>
            </w:tcBorders>
          </w:tcPr>
          <w:p w:rsidR="006D2CB3" w:rsidRDefault="006D2CB3" w:rsidP="00506FA5">
            <w:pPr>
              <w:jc w:val="center"/>
            </w:pPr>
            <w:r>
              <w:t>New Reference Range</w:t>
            </w:r>
          </w:p>
        </w:tc>
      </w:tr>
      <w:tr w:rsidR="006D2CB3" w:rsidTr="00506FA5">
        <w:tc>
          <w:tcPr>
            <w:tcW w:w="4513" w:type="dxa"/>
            <w:tcBorders>
              <w:top w:val="double" w:sz="4" w:space="0" w:color="auto"/>
              <w:left w:val="double" w:sz="4" w:space="0" w:color="auto"/>
              <w:bottom w:val="double" w:sz="4" w:space="0" w:color="auto"/>
            </w:tcBorders>
          </w:tcPr>
          <w:p w:rsidR="006D2CB3" w:rsidRDefault="006D2CB3" w:rsidP="00506FA5">
            <w:pPr>
              <w:jc w:val="center"/>
            </w:pPr>
            <w:r>
              <w:t xml:space="preserve">9am: 150 – 650 nmol/L </w:t>
            </w:r>
          </w:p>
        </w:tc>
        <w:tc>
          <w:tcPr>
            <w:tcW w:w="4621" w:type="dxa"/>
            <w:tcBorders>
              <w:top w:val="double" w:sz="4" w:space="0" w:color="auto"/>
              <w:bottom w:val="double" w:sz="4" w:space="0" w:color="auto"/>
              <w:right w:val="double" w:sz="4" w:space="0" w:color="auto"/>
            </w:tcBorders>
          </w:tcPr>
          <w:p w:rsidR="006D2CB3" w:rsidRDefault="006D2CB3" w:rsidP="00506FA5">
            <w:pPr>
              <w:jc w:val="center"/>
            </w:pPr>
            <w:r>
              <w:t>6 – 10am: 133 – 537 nmol/L</w:t>
            </w:r>
          </w:p>
        </w:tc>
      </w:tr>
    </w:tbl>
    <w:p w:rsidR="00793857" w:rsidRDefault="00793857"/>
    <w:p w:rsidR="00793857" w:rsidRDefault="00793857">
      <w:pPr>
        <w:rPr>
          <w:b/>
          <w:sz w:val="28"/>
        </w:rPr>
      </w:pPr>
    </w:p>
    <w:p w:rsidR="00793857" w:rsidRDefault="00793857">
      <w:pPr>
        <w:rPr>
          <w:b/>
          <w:sz w:val="28"/>
        </w:rPr>
      </w:pPr>
    </w:p>
    <w:p w:rsidR="00112838" w:rsidRDefault="00112838">
      <w:pPr>
        <w:rPr>
          <w:b/>
          <w:sz w:val="28"/>
        </w:rPr>
      </w:pPr>
      <w:r w:rsidRPr="00C815E4">
        <w:rPr>
          <w:b/>
          <w:sz w:val="28"/>
        </w:rPr>
        <w:t>Prolactin</w:t>
      </w:r>
    </w:p>
    <w:p w:rsidR="00501047" w:rsidRPr="004674B2" w:rsidRDefault="002E7146" w:rsidP="00501047">
      <w:pPr>
        <w:jc w:val="both"/>
      </w:pPr>
      <w:r>
        <w:t xml:space="preserve">There will be changes in reference ranges for prolactin. The changes are summarised in the table below. </w:t>
      </w:r>
      <w:r w:rsidR="004674B2">
        <w:t xml:space="preserve">The new reference ranges were derived during a study performed by Roche Diagnostics and </w:t>
      </w:r>
      <w:proofErr w:type="gramStart"/>
      <w:r w:rsidR="004674B2">
        <w:t>were</w:t>
      </w:r>
      <w:proofErr w:type="gramEnd"/>
      <w:r w:rsidR="004674B2">
        <w:t xml:space="preserve"> verified </w:t>
      </w:r>
      <w:r w:rsidR="0088298B">
        <w:t xml:space="preserve">by </w:t>
      </w:r>
      <w:r w:rsidR="004674B2">
        <w:t>an independent study</w:t>
      </w:r>
      <w:r w:rsidR="0088298B">
        <w:t xml:space="preserve"> published in Clinical Chemistry</w:t>
      </w:r>
      <w:r w:rsidR="004674B2">
        <w:rPr>
          <w:vertAlign w:val="superscript"/>
        </w:rPr>
        <w:t>2</w:t>
      </w:r>
      <w:r w:rsidR="004674B2">
        <w:t xml:space="preserve">. </w:t>
      </w:r>
    </w:p>
    <w:tbl>
      <w:tblPr>
        <w:tblStyle w:val="TableGrid"/>
        <w:tblW w:w="0" w:type="auto"/>
        <w:tblInd w:w="108" w:type="dxa"/>
        <w:tblLook w:val="04A0" w:firstRow="1" w:lastRow="0" w:firstColumn="1" w:lastColumn="0" w:noHBand="0" w:noVBand="1"/>
      </w:tblPr>
      <w:tblGrid>
        <w:gridCol w:w="4513"/>
        <w:gridCol w:w="4621"/>
      </w:tblGrid>
      <w:tr w:rsidR="00E134E1" w:rsidTr="008C37D4">
        <w:tc>
          <w:tcPr>
            <w:tcW w:w="9134" w:type="dxa"/>
            <w:gridSpan w:val="2"/>
            <w:tcBorders>
              <w:top w:val="double" w:sz="4" w:space="0" w:color="auto"/>
              <w:left w:val="double" w:sz="4" w:space="0" w:color="auto"/>
              <w:bottom w:val="double" w:sz="4" w:space="0" w:color="auto"/>
              <w:right w:val="double" w:sz="4" w:space="0" w:color="auto"/>
            </w:tcBorders>
          </w:tcPr>
          <w:p w:rsidR="00E134E1" w:rsidRPr="00E07827" w:rsidRDefault="00E134E1" w:rsidP="008C37D4">
            <w:pPr>
              <w:jc w:val="center"/>
              <w:rPr>
                <w:b/>
              </w:rPr>
            </w:pPr>
            <w:r w:rsidRPr="00E07827">
              <w:rPr>
                <w:b/>
              </w:rPr>
              <w:t xml:space="preserve">Changes </w:t>
            </w:r>
            <w:r>
              <w:rPr>
                <w:b/>
              </w:rPr>
              <w:t>in Reference Ranges for Prolactin</w:t>
            </w:r>
          </w:p>
        </w:tc>
      </w:tr>
      <w:tr w:rsidR="00E134E1" w:rsidTr="008C37D4">
        <w:tc>
          <w:tcPr>
            <w:tcW w:w="4513" w:type="dxa"/>
            <w:tcBorders>
              <w:top w:val="double" w:sz="4" w:space="0" w:color="auto"/>
              <w:left w:val="double" w:sz="4" w:space="0" w:color="auto"/>
              <w:bottom w:val="double" w:sz="4" w:space="0" w:color="auto"/>
              <w:right w:val="double" w:sz="4" w:space="0" w:color="auto"/>
            </w:tcBorders>
          </w:tcPr>
          <w:p w:rsidR="00E134E1" w:rsidRDefault="00E134E1" w:rsidP="008C37D4">
            <w:pPr>
              <w:jc w:val="center"/>
            </w:pPr>
            <w:r>
              <w:t>Current Reference Range</w:t>
            </w:r>
            <w:r w:rsidR="00FB23B8">
              <w:t>s</w:t>
            </w:r>
          </w:p>
        </w:tc>
        <w:tc>
          <w:tcPr>
            <w:tcW w:w="4621" w:type="dxa"/>
            <w:tcBorders>
              <w:top w:val="double" w:sz="4" w:space="0" w:color="auto"/>
              <w:left w:val="double" w:sz="4" w:space="0" w:color="auto"/>
              <w:bottom w:val="double" w:sz="4" w:space="0" w:color="auto"/>
              <w:right w:val="double" w:sz="4" w:space="0" w:color="auto"/>
            </w:tcBorders>
          </w:tcPr>
          <w:p w:rsidR="00E134E1" w:rsidRDefault="00E134E1" w:rsidP="008C37D4">
            <w:pPr>
              <w:jc w:val="center"/>
            </w:pPr>
            <w:r>
              <w:t>New Reference Range</w:t>
            </w:r>
            <w:r w:rsidR="00FB23B8">
              <w:t>s</w:t>
            </w:r>
          </w:p>
        </w:tc>
      </w:tr>
      <w:tr w:rsidR="00E134E1" w:rsidTr="008C37D4">
        <w:tc>
          <w:tcPr>
            <w:tcW w:w="4513" w:type="dxa"/>
            <w:tcBorders>
              <w:top w:val="double" w:sz="4" w:space="0" w:color="auto"/>
              <w:left w:val="double" w:sz="4" w:space="0" w:color="auto"/>
              <w:bottom w:val="double" w:sz="4" w:space="0" w:color="auto"/>
            </w:tcBorders>
          </w:tcPr>
          <w:p w:rsidR="00E134E1" w:rsidRDefault="00E134E1" w:rsidP="008C37D4">
            <w:pPr>
              <w:jc w:val="center"/>
            </w:pPr>
            <w:r>
              <w:t xml:space="preserve">Male: 45 – 375 </w:t>
            </w:r>
            <w:proofErr w:type="spellStart"/>
            <w:r>
              <w:t>mU</w:t>
            </w:r>
            <w:proofErr w:type="spellEnd"/>
            <w:r>
              <w:t>/L</w:t>
            </w:r>
          </w:p>
          <w:p w:rsidR="00E134E1" w:rsidRDefault="00E134E1" w:rsidP="008C37D4">
            <w:pPr>
              <w:jc w:val="center"/>
            </w:pPr>
            <w:r>
              <w:t xml:space="preserve">Female: 59 – 620 </w:t>
            </w:r>
            <w:proofErr w:type="spellStart"/>
            <w:r>
              <w:t>mU</w:t>
            </w:r>
            <w:proofErr w:type="spellEnd"/>
            <w:r>
              <w:t>/L</w:t>
            </w:r>
          </w:p>
        </w:tc>
        <w:tc>
          <w:tcPr>
            <w:tcW w:w="4621" w:type="dxa"/>
            <w:tcBorders>
              <w:top w:val="double" w:sz="4" w:space="0" w:color="auto"/>
              <w:bottom w:val="double" w:sz="4" w:space="0" w:color="auto"/>
              <w:right w:val="double" w:sz="4" w:space="0" w:color="auto"/>
            </w:tcBorders>
          </w:tcPr>
          <w:p w:rsidR="00E134E1" w:rsidRDefault="00E134E1" w:rsidP="008C37D4">
            <w:pPr>
              <w:jc w:val="center"/>
            </w:pPr>
            <w:r>
              <w:t xml:space="preserve">Male: 86 – 324 </w:t>
            </w:r>
            <w:proofErr w:type="spellStart"/>
            <w:r>
              <w:t>mU</w:t>
            </w:r>
            <w:proofErr w:type="spellEnd"/>
            <w:r>
              <w:t>/L</w:t>
            </w:r>
          </w:p>
          <w:p w:rsidR="00E134E1" w:rsidRDefault="00E134E1" w:rsidP="008C37D4">
            <w:pPr>
              <w:jc w:val="center"/>
            </w:pPr>
            <w:r>
              <w:t xml:space="preserve">Female: 102 – 496 </w:t>
            </w:r>
            <w:proofErr w:type="spellStart"/>
            <w:r>
              <w:t>mU</w:t>
            </w:r>
            <w:proofErr w:type="spellEnd"/>
            <w:r>
              <w:t>/L</w:t>
            </w:r>
          </w:p>
        </w:tc>
      </w:tr>
    </w:tbl>
    <w:p w:rsidR="00112838" w:rsidRDefault="00112838"/>
    <w:p w:rsidR="00501047" w:rsidRDefault="00501047" w:rsidP="00501047">
      <w:pPr>
        <w:jc w:val="both"/>
      </w:pPr>
      <w:r>
        <w:t>The upper limits of the reference range for both males and females will decrease following the introduction of the new assay. This may result in an increase in elevated prolactin results. We will continue to add further tests and interpretive comments where appropriate. Physiological and pharmacological causes of hyperprolactinaemia should be excluded first before pathological causes are considered. Please refer to</w:t>
      </w:r>
      <w:r w:rsidR="009E667B">
        <w:rPr>
          <w:color w:val="1F497D" w:themeColor="dark2"/>
        </w:rPr>
        <w:t xml:space="preserve"> </w:t>
      </w:r>
      <w:hyperlink r:id="rId17" w:history="1">
        <w:r w:rsidR="009E667B">
          <w:rPr>
            <w:rStyle w:val="Hyperlink"/>
          </w:rPr>
          <w:t>https://tinyurl.com/PrimaryCareInfo</w:t>
        </w:r>
      </w:hyperlink>
      <w:r w:rsidR="009E667B">
        <w:t xml:space="preserve"> </w:t>
      </w:r>
      <w:r>
        <w:t xml:space="preserve">for further information on the causes of hyperprolactinaemia. </w:t>
      </w:r>
    </w:p>
    <w:p w:rsidR="004674B2" w:rsidRDefault="004674B2" w:rsidP="004674B2">
      <w:pPr>
        <w:jc w:val="both"/>
      </w:pPr>
    </w:p>
    <w:p w:rsidR="00793857" w:rsidRPr="004674B2" w:rsidRDefault="004674B2" w:rsidP="004674B2">
      <w:pPr>
        <w:jc w:val="both"/>
        <w:rPr>
          <w:sz w:val="28"/>
        </w:rPr>
      </w:pPr>
      <w:r w:rsidRPr="004674B2">
        <w:t>[</w:t>
      </w:r>
      <w:r w:rsidRPr="004674B2">
        <w:rPr>
          <w:sz w:val="20"/>
        </w:rPr>
        <w:t>2]</w:t>
      </w:r>
      <w:r w:rsidRPr="004674B2">
        <w:t xml:space="preserve"> Beltran L, </w:t>
      </w:r>
      <w:proofErr w:type="spellStart"/>
      <w:r w:rsidRPr="004674B2">
        <w:t>Fahie</w:t>
      </w:r>
      <w:proofErr w:type="spellEnd"/>
      <w:r w:rsidRPr="004674B2">
        <w:t xml:space="preserve">-Wilson MN, </w:t>
      </w:r>
      <w:proofErr w:type="gramStart"/>
      <w:r w:rsidRPr="004674B2">
        <w:t>McKenna</w:t>
      </w:r>
      <w:proofErr w:type="gramEnd"/>
      <w:r w:rsidRPr="004674B2">
        <w:t xml:space="preserve"> J </w:t>
      </w:r>
      <w:r w:rsidRPr="009B3FBE">
        <w:rPr>
          <w:i/>
        </w:rPr>
        <w:t>et al</w:t>
      </w:r>
      <w:r w:rsidRPr="004674B2">
        <w:t>. Serum Total Prolactin and Monomeric Prolactin Reference Intervals Determined by Precipitation</w:t>
      </w:r>
      <w:r w:rsidR="0088298B">
        <w:t xml:space="preserve"> with Polyethylene Glycol: Evaluation and Validation on Common Immunoassay Platforms. </w:t>
      </w:r>
      <w:proofErr w:type="spellStart"/>
      <w:r w:rsidR="0088298B" w:rsidRPr="0088298B">
        <w:rPr>
          <w:i/>
        </w:rPr>
        <w:t>Clin</w:t>
      </w:r>
      <w:proofErr w:type="spellEnd"/>
      <w:r w:rsidR="0088298B" w:rsidRPr="0088298B">
        <w:rPr>
          <w:i/>
        </w:rPr>
        <w:t xml:space="preserve"> </w:t>
      </w:r>
      <w:proofErr w:type="spellStart"/>
      <w:r w:rsidR="0088298B" w:rsidRPr="0088298B">
        <w:rPr>
          <w:i/>
        </w:rPr>
        <w:t>Chem</w:t>
      </w:r>
      <w:proofErr w:type="spellEnd"/>
      <w:r w:rsidR="0088298B">
        <w:t xml:space="preserve"> 2008; 54 (10): 1673 - 1681</w:t>
      </w:r>
      <w:r w:rsidR="00793857" w:rsidRPr="004674B2">
        <w:rPr>
          <w:sz w:val="28"/>
        </w:rPr>
        <w:br w:type="page"/>
      </w:r>
    </w:p>
    <w:p w:rsidR="00112838" w:rsidRDefault="00112838">
      <w:pPr>
        <w:rPr>
          <w:b/>
          <w:sz w:val="28"/>
        </w:rPr>
      </w:pPr>
      <w:r w:rsidRPr="00C815E4">
        <w:rPr>
          <w:b/>
          <w:sz w:val="28"/>
        </w:rPr>
        <w:lastRenderedPageBreak/>
        <w:t>Testosterone</w:t>
      </w:r>
    </w:p>
    <w:p w:rsidR="00E134E1" w:rsidRDefault="005F74EF" w:rsidP="005F74EF">
      <w:pPr>
        <w:jc w:val="both"/>
      </w:pPr>
      <w:r>
        <w:t xml:space="preserve">There will be changes in the reference ranges for testosterone and sex hormone binding globulin (SHBG). The changes are summarised in the table below. In both cases, reference ranges are </w:t>
      </w:r>
      <w:proofErr w:type="gramStart"/>
      <w:r w:rsidR="00DA3C50">
        <w:t xml:space="preserve">age- and </w:t>
      </w:r>
      <w:r>
        <w:t>sex</w:t>
      </w:r>
      <w:r w:rsidR="00DA3C50">
        <w:t>-related</w:t>
      </w:r>
      <w:proofErr w:type="gramEnd"/>
      <w:r>
        <w:t>. The implementation of these</w:t>
      </w:r>
      <w:r w:rsidR="001D2060">
        <w:t xml:space="preserve"> reference ranges</w:t>
      </w:r>
      <w:r>
        <w:t xml:space="preserve"> will </w:t>
      </w:r>
      <w:r w:rsidR="001D2060">
        <w:t>allow for more appropriate interpretation of testosterone levels in the context of the patient’s age. The new lower limit of the reference range in men greater than 50 years of age will reduce the number of patients inappropriately identified as having hypogonadism. We will continue to add further investigations and interpretive comments</w:t>
      </w:r>
      <w:r w:rsidR="00DE2406">
        <w:t xml:space="preserve"> where appropriate</w:t>
      </w:r>
      <w:r w:rsidR="001D2060">
        <w:t xml:space="preserve">. </w:t>
      </w:r>
    </w:p>
    <w:p w:rsidR="001D2060" w:rsidRPr="00FA4763" w:rsidRDefault="0098797C" w:rsidP="005F74EF">
      <w:pPr>
        <w:jc w:val="both"/>
      </w:pPr>
      <w:r w:rsidRPr="00FA4763">
        <w:t xml:space="preserve">There will be a decrease in the upper reference limit for female testosterone. We expect female testosterone results to be lower on the new assay, which is less prone to interference from other steroid hormones. We will continue </w:t>
      </w:r>
      <w:r w:rsidR="00FA4763" w:rsidRPr="00FA4763">
        <w:t>to send samples with an elevated female testosterone result</w:t>
      </w:r>
      <w:r w:rsidR="00A02424" w:rsidRPr="00FA4763">
        <w:t xml:space="preserve"> to a referral laboratory for confirmation by a more specific method. </w:t>
      </w:r>
    </w:p>
    <w:tbl>
      <w:tblPr>
        <w:tblStyle w:val="TableGrid"/>
        <w:tblW w:w="0" w:type="auto"/>
        <w:tblInd w:w="108" w:type="dxa"/>
        <w:tblLook w:val="04A0" w:firstRow="1" w:lastRow="0" w:firstColumn="1" w:lastColumn="0" w:noHBand="0" w:noVBand="1"/>
      </w:tblPr>
      <w:tblGrid>
        <w:gridCol w:w="2780"/>
        <w:gridCol w:w="3145"/>
        <w:gridCol w:w="3209"/>
      </w:tblGrid>
      <w:tr w:rsidR="00E134E1" w:rsidTr="00033412">
        <w:tc>
          <w:tcPr>
            <w:tcW w:w="9134" w:type="dxa"/>
            <w:gridSpan w:val="3"/>
            <w:tcBorders>
              <w:top w:val="double" w:sz="4" w:space="0" w:color="auto"/>
              <w:left w:val="double" w:sz="4" w:space="0" w:color="auto"/>
              <w:bottom w:val="double" w:sz="4" w:space="0" w:color="auto"/>
              <w:right w:val="double" w:sz="4" w:space="0" w:color="auto"/>
            </w:tcBorders>
          </w:tcPr>
          <w:p w:rsidR="00E134E1" w:rsidRPr="00E07827" w:rsidRDefault="00E134E1" w:rsidP="00E134E1">
            <w:pPr>
              <w:jc w:val="center"/>
              <w:rPr>
                <w:b/>
              </w:rPr>
            </w:pPr>
            <w:r w:rsidRPr="00E07827">
              <w:rPr>
                <w:b/>
              </w:rPr>
              <w:t xml:space="preserve">Changes </w:t>
            </w:r>
            <w:r>
              <w:rPr>
                <w:b/>
              </w:rPr>
              <w:t>in Reference Ranges for Testosterone</w:t>
            </w:r>
          </w:p>
        </w:tc>
      </w:tr>
      <w:tr w:rsidR="00E134E1" w:rsidTr="00E134E1">
        <w:tc>
          <w:tcPr>
            <w:tcW w:w="2780" w:type="dxa"/>
            <w:tcBorders>
              <w:top w:val="double" w:sz="4" w:space="0" w:color="auto"/>
              <w:left w:val="double" w:sz="4" w:space="0" w:color="auto"/>
              <w:bottom w:val="double" w:sz="4" w:space="0" w:color="auto"/>
              <w:right w:val="double" w:sz="4" w:space="0" w:color="auto"/>
            </w:tcBorders>
          </w:tcPr>
          <w:p w:rsidR="00E134E1" w:rsidRDefault="00E134E1" w:rsidP="008C37D4">
            <w:pPr>
              <w:jc w:val="center"/>
            </w:pPr>
            <w:r>
              <w:t>Sex</w:t>
            </w:r>
          </w:p>
        </w:tc>
        <w:tc>
          <w:tcPr>
            <w:tcW w:w="3145" w:type="dxa"/>
            <w:tcBorders>
              <w:top w:val="double" w:sz="4" w:space="0" w:color="auto"/>
              <w:left w:val="double" w:sz="4" w:space="0" w:color="auto"/>
              <w:bottom w:val="double" w:sz="4" w:space="0" w:color="auto"/>
              <w:right w:val="double" w:sz="4" w:space="0" w:color="auto"/>
            </w:tcBorders>
          </w:tcPr>
          <w:p w:rsidR="00E134E1" w:rsidRDefault="00E134E1" w:rsidP="008C37D4">
            <w:pPr>
              <w:jc w:val="center"/>
            </w:pPr>
            <w:r>
              <w:t>Current Reference Range</w:t>
            </w:r>
          </w:p>
        </w:tc>
        <w:tc>
          <w:tcPr>
            <w:tcW w:w="3209" w:type="dxa"/>
            <w:tcBorders>
              <w:top w:val="double" w:sz="4" w:space="0" w:color="auto"/>
              <w:left w:val="double" w:sz="4" w:space="0" w:color="auto"/>
              <w:bottom w:val="double" w:sz="4" w:space="0" w:color="auto"/>
              <w:right w:val="double" w:sz="4" w:space="0" w:color="auto"/>
            </w:tcBorders>
          </w:tcPr>
          <w:p w:rsidR="00E134E1" w:rsidRDefault="00E134E1" w:rsidP="008C37D4">
            <w:pPr>
              <w:jc w:val="center"/>
            </w:pPr>
            <w:r>
              <w:t>New Reference Range</w:t>
            </w:r>
          </w:p>
        </w:tc>
      </w:tr>
      <w:tr w:rsidR="00E134E1" w:rsidTr="00746FEC">
        <w:tc>
          <w:tcPr>
            <w:tcW w:w="2780" w:type="dxa"/>
            <w:tcBorders>
              <w:top w:val="double" w:sz="4" w:space="0" w:color="auto"/>
              <w:left w:val="double" w:sz="4" w:space="0" w:color="auto"/>
              <w:bottom w:val="single" w:sz="4" w:space="0" w:color="auto"/>
            </w:tcBorders>
          </w:tcPr>
          <w:p w:rsidR="00E134E1" w:rsidRDefault="00E134E1" w:rsidP="008C37D4">
            <w:pPr>
              <w:jc w:val="center"/>
            </w:pPr>
            <w:r>
              <w:t>Male</w:t>
            </w:r>
          </w:p>
        </w:tc>
        <w:tc>
          <w:tcPr>
            <w:tcW w:w="3145" w:type="dxa"/>
            <w:tcBorders>
              <w:top w:val="double" w:sz="4" w:space="0" w:color="auto"/>
              <w:left w:val="double" w:sz="4" w:space="0" w:color="auto"/>
              <w:bottom w:val="single" w:sz="4" w:space="0" w:color="auto"/>
            </w:tcBorders>
          </w:tcPr>
          <w:p w:rsidR="00E134E1" w:rsidRDefault="00E134E1" w:rsidP="008C37D4">
            <w:pPr>
              <w:jc w:val="center"/>
            </w:pPr>
            <w:r>
              <w:t>8</w:t>
            </w:r>
            <w:r w:rsidR="001D2060">
              <w:t>.1</w:t>
            </w:r>
            <w:r>
              <w:t xml:space="preserve"> – 29 nmol/L</w:t>
            </w:r>
          </w:p>
        </w:tc>
        <w:tc>
          <w:tcPr>
            <w:tcW w:w="3209" w:type="dxa"/>
            <w:tcBorders>
              <w:top w:val="double" w:sz="4" w:space="0" w:color="auto"/>
              <w:bottom w:val="single" w:sz="4" w:space="0" w:color="auto"/>
              <w:right w:val="double" w:sz="4" w:space="0" w:color="auto"/>
            </w:tcBorders>
          </w:tcPr>
          <w:p w:rsidR="00E134E1" w:rsidRDefault="00E134E1" w:rsidP="008C37D4">
            <w:pPr>
              <w:jc w:val="center"/>
            </w:pPr>
            <w:r w:rsidRPr="001D2060">
              <w:rPr>
                <w:b/>
              </w:rPr>
              <w:t>20 – 49 years</w:t>
            </w:r>
            <w:r>
              <w:t>: 8.64 – 29.0 nmol/L</w:t>
            </w:r>
          </w:p>
          <w:p w:rsidR="00E134E1" w:rsidRDefault="00E134E1" w:rsidP="008C37D4">
            <w:pPr>
              <w:jc w:val="center"/>
            </w:pPr>
            <w:r w:rsidRPr="001D2060">
              <w:rPr>
                <w:b/>
              </w:rPr>
              <w:t>≥ 50 years</w:t>
            </w:r>
            <w:r>
              <w:t>: 6.68 – 25.7 nmol/L</w:t>
            </w:r>
          </w:p>
        </w:tc>
      </w:tr>
      <w:tr w:rsidR="00E134E1" w:rsidTr="00746FEC">
        <w:tc>
          <w:tcPr>
            <w:tcW w:w="2780" w:type="dxa"/>
            <w:tcBorders>
              <w:top w:val="single" w:sz="4" w:space="0" w:color="auto"/>
              <w:left w:val="double" w:sz="4" w:space="0" w:color="auto"/>
              <w:bottom w:val="double" w:sz="4" w:space="0" w:color="auto"/>
            </w:tcBorders>
          </w:tcPr>
          <w:p w:rsidR="00E134E1" w:rsidRDefault="00E134E1" w:rsidP="008C37D4">
            <w:pPr>
              <w:jc w:val="center"/>
            </w:pPr>
            <w:r>
              <w:t>Female</w:t>
            </w:r>
          </w:p>
        </w:tc>
        <w:tc>
          <w:tcPr>
            <w:tcW w:w="3145" w:type="dxa"/>
            <w:tcBorders>
              <w:top w:val="single" w:sz="4" w:space="0" w:color="auto"/>
              <w:left w:val="double" w:sz="4" w:space="0" w:color="auto"/>
              <w:bottom w:val="double" w:sz="4" w:space="0" w:color="auto"/>
            </w:tcBorders>
          </w:tcPr>
          <w:p w:rsidR="00E134E1" w:rsidRDefault="00E134E1" w:rsidP="008C37D4">
            <w:pPr>
              <w:jc w:val="center"/>
            </w:pPr>
            <w:r>
              <w:t>0.5 – 2.6 nmol/L</w:t>
            </w:r>
          </w:p>
        </w:tc>
        <w:tc>
          <w:tcPr>
            <w:tcW w:w="3209" w:type="dxa"/>
            <w:tcBorders>
              <w:top w:val="single" w:sz="4" w:space="0" w:color="auto"/>
              <w:bottom w:val="double" w:sz="4" w:space="0" w:color="auto"/>
              <w:right w:val="double" w:sz="4" w:space="0" w:color="auto"/>
            </w:tcBorders>
          </w:tcPr>
          <w:p w:rsidR="00E134E1" w:rsidRDefault="00E134E1" w:rsidP="008C37D4">
            <w:pPr>
              <w:jc w:val="center"/>
            </w:pPr>
            <w:r w:rsidRPr="001D2060">
              <w:rPr>
                <w:b/>
              </w:rPr>
              <w:t>20 – 49</w:t>
            </w:r>
            <w:r>
              <w:t xml:space="preserve"> </w:t>
            </w:r>
            <w:r w:rsidRPr="00EA36C9">
              <w:rPr>
                <w:b/>
              </w:rPr>
              <w:t>years</w:t>
            </w:r>
            <w:r>
              <w:t xml:space="preserve">: </w:t>
            </w:r>
            <w:r w:rsidR="00EA36C9">
              <w:t>≤</w:t>
            </w:r>
            <w:r>
              <w:t>1.67 nmol/L</w:t>
            </w:r>
          </w:p>
          <w:p w:rsidR="00E134E1" w:rsidRDefault="00E134E1" w:rsidP="008C37D4">
            <w:pPr>
              <w:jc w:val="center"/>
            </w:pPr>
            <w:r w:rsidRPr="001D2060">
              <w:rPr>
                <w:b/>
              </w:rPr>
              <w:t>≥ 50 years</w:t>
            </w:r>
            <w:r>
              <w:t xml:space="preserve">: </w:t>
            </w:r>
            <w:r w:rsidR="00EA36C9">
              <w:t>≤</w:t>
            </w:r>
            <w:r>
              <w:t>1.42 nmol/L</w:t>
            </w:r>
          </w:p>
        </w:tc>
      </w:tr>
    </w:tbl>
    <w:p w:rsidR="003D1958" w:rsidRDefault="003D1958"/>
    <w:tbl>
      <w:tblPr>
        <w:tblStyle w:val="TableGrid"/>
        <w:tblW w:w="0" w:type="auto"/>
        <w:tblInd w:w="108" w:type="dxa"/>
        <w:tblLook w:val="04A0" w:firstRow="1" w:lastRow="0" w:firstColumn="1" w:lastColumn="0" w:noHBand="0" w:noVBand="1"/>
      </w:tblPr>
      <w:tblGrid>
        <w:gridCol w:w="2780"/>
        <w:gridCol w:w="3145"/>
        <w:gridCol w:w="3209"/>
      </w:tblGrid>
      <w:tr w:rsidR="00E134E1" w:rsidTr="008C37D4">
        <w:tc>
          <w:tcPr>
            <w:tcW w:w="9134" w:type="dxa"/>
            <w:gridSpan w:val="3"/>
            <w:tcBorders>
              <w:top w:val="double" w:sz="4" w:space="0" w:color="auto"/>
              <w:left w:val="double" w:sz="4" w:space="0" w:color="auto"/>
              <w:bottom w:val="double" w:sz="4" w:space="0" w:color="auto"/>
              <w:right w:val="double" w:sz="4" w:space="0" w:color="auto"/>
            </w:tcBorders>
          </w:tcPr>
          <w:p w:rsidR="00E134E1" w:rsidRPr="00E07827" w:rsidRDefault="00E134E1" w:rsidP="00E134E1">
            <w:pPr>
              <w:jc w:val="center"/>
              <w:rPr>
                <w:b/>
              </w:rPr>
            </w:pPr>
            <w:r w:rsidRPr="00E07827">
              <w:rPr>
                <w:b/>
              </w:rPr>
              <w:t xml:space="preserve">Changes </w:t>
            </w:r>
            <w:r>
              <w:rPr>
                <w:b/>
              </w:rPr>
              <w:t>in Reference Ranges for SHBG</w:t>
            </w:r>
          </w:p>
        </w:tc>
      </w:tr>
      <w:tr w:rsidR="00E134E1" w:rsidTr="00746FEC">
        <w:tc>
          <w:tcPr>
            <w:tcW w:w="2780" w:type="dxa"/>
            <w:tcBorders>
              <w:top w:val="double" w:sz="4" w:space="0" w:color="auto"/>
              <w:left w:val="double" w:sz="4" w:space="0" w:color="auto"/>
              <w:bottom w:val="double" w:sz="4" w:space="0" w:color="auto"/>
              <w:right w:val="double" w:sz="4" w:space="0" w:color="auto"/>
            </w:tcBorders>
          </w:tcPr>
          <w:p w:rsidR="00E134E1" w:rsidRDefault="00E134E1" w:rsidP="008C37D4">
            <w:pPr>
              <w:jc w:val="center"/>
            </w:pPr>
            <w:r>
              <w:t>Sex</w:t>
            </w:r>
          </w:p>
        </w:tc>
        <w:tc>
          <w:tcPr>
            <w:tcW w:w="3145" w:type="dxa"/>
            <w:tcBorders>
              <w:top w:val="double" w:sz="4" w:space="0" w:color="auto"/>
              <w:left w:val="double" w:sz="4" w:space="0" w:color="auto"/>
              <w:bottom w:val="double" w:sz="4" w:space="0" w:color="auto"/>
              <w:right w:val="double" w:sz="4" w:space="0" w:color="auto"/>
            </w:tcBorders>
          </w:tcPr>
          <w:p w:rsidR="00E134E1" w:rsidRDefault="00E134E1" w:rsidP="008C37D4">
            <w:pPr>
              <w:jc w:val="center"/>
            </w:pPr>
            <w:r>
              <w:t>Current Reference Range</w:t>
            </w:r>
          </w:p>
        </w:tc>
        <w:tc>
          <w:tcPr>
            <w:tcW w:w="3209" w:type="dxa"/>
            <w:tcBorders>
              <w:top w:val="double" w:sz="4" w:space="0" w:color="auto"/>
              <w:left w:val="double" w:sz="4" w:space="0" w:color="auto"/>
              <w:bottom w:val="double" w:sz="4" w:space="0" w:color="auto"/>
              <w:right w:val="double" w:sz="4" w:space="0" w:color="auto"/>
            </w:tcBorders>
          </w:tcPr>
          <w:p w:rsidR="00E134E1" w:rsidRDefault="00E134E1" w:rsidP="008C37D4">
            <w:pPr>
              <w:jc w:val="center"/>
            </w:pPr>
            <w:r>
              <w:t>New Reference Range</w:t>
            </w:r>
          </w:p>
        </w:tc>
      </w:tr>
      <w:tr w:rsidR="00E134E1" w:rsidTr="00746FEC">
        <w:tc>
          <w:tcPr>
            <w:tcW w:w="2780" w:type="dxa"/>
            <w:tcBorders>
              <w:top w:val="double" w:sz="4" w:space="0" w:color="auto"/>
              <w:left w:val="double" w:sz="4" w:space="0" w:color="auto"/>
              <w:bottom w:val="single" w:sz="4" w:space="0" w:color="auto"/>
              <w:right w:val="single" w:sz="4" w:space="0" w:color="auto"/>
            </w:tcBorders>
          </w:tcPr>
          <w:p w:rsidR="00E134E1" w:rsidRDefault="00E134E1" w:rsidP="008C37D4">
            <w:pPr>
              <w:jc w:val="center"/>
            </w:pPr>
            <w:r>
              <w:t>Male</w:t>
            </w:r>
          </w:p>
        </w:tc>
        <w:tc>
          <w:tcPr>
            <w:tcW w:w="3145" w:type="dxa"/>
            <w:tcBorders>
              <w:top w:val="double" w:sz="4" w:space="0" w:color="auto"/>
              <w:left w:val="single" w:sz="4" w:space="0" w:color="auto"/>
              <w:bottom w:val="single" w:sz="4" w:space="0" w:color="auto"/>
            </w:tcBorders>
          </w:tcPr>
          <w:p w:rsidR="00E134E1" w:rsidRDefault="00E134E1" w:rsidP="008C37D4">
            <w:pPr>
              <w:jc w:val="center"/>
            </w:pPr>
            <w:r>
              <w:t>10 – 57 nmol/L</w:t>
            </w:r>
          </w:p>
        </w:tc>
        <w:tc>
          <w:tcPr>
            <w:tcW w:w="3209" w:type="dxa"/>
            <w:tcBorders>
              <w:top w:val="double" w:sz="4" w:space="0" w:color="auto"/>
              <w:bottom w:val="single" w:sz="4" w:space="0" w:color="auto"/>
              <w:right w:val="double" w:sz="4" w:space="0" w:color="auto"/>
            </w:tcBorders>
          </w:tcPr>
          <w:p w:rsidR="00E134E1" w:rsidRDefault="00E134E1" w:rsidP="00E134E1">
            <w:pPr>
              <w:jc w:val="center"/>
            </w:pPr>
            <w:r w:rsidRPr="00746FEC">
              <w:rPr>
                <w:b/>
              </w:rPr>
              <w:t>20 – 49 years</w:t>
            </w:r>
            <w:r>
              <w:t xml:space="preserve">: </w:t>
            </w:r>
            <w:r w:rsidR="00746FEC">
              <w:t xml:space="preserve">18.3 – 54.1 </w:t>
            </w:r>
            <w:r>
              <w:t>nmol/L</w:t>
            </w:r>
          </w:p>
          <w:p w:rsidR="00E134E1" w:rsidRDefault="00E134E1" w:rsidP="00E134E1">
            <w:pPr>
              <w:jc w:val="center"/>
            </w:pPr>
            <w:r w:rsidRPr="00746FEC">
              <w:rPr>
                <w:b/>
              </w:rPr>
              <w:t>≥ 50 years</w:t>
            </w:r>
            <w:r>
              <w:t xml:space="preserve">: </w:t>
            </w:r>
            <w:r w:rsidR="00746FEC">
              <w:t xml:space="preserve">20.6 – 76.7 </w:t>
            </w:r>
            <w:r>
              <w:t>nmol/L</w:t>
            </w:r>
          </w:p>
        </w:tc>
      </w:tr>
      <w:tr w:rsidR="00E134E1" w:rsidTr="00746FEC">
        <w:tc>
          <w:tcPr>
            <w:tcW w:w="2780" w:type="dxa"/>
            <w:tcBorders>
              <w:top w:val="single" w:sz="4" w:space="0" w:color="auto"/>
              <w:left w:val="double" w:sz="4" w:space="0" w:color="auto"/>
              <w:bottom w:val="double" w:sz="4" w:space="0" w:color="auto"/>
              <w:right w:val="single" w:sz="4" w:space="0" w:color="auto"/>
            </w:tcBorders>
          </w:tcPr>
          <w:p w:rsidR="00E134E1" w:rsidRDefault="00E134E1" w:rsidP="008C37D4">
            <w:pPr>
              <w:jc w:val="center"/>
            </w:pPr>
            <w:r>
              <w:t>Female</w:t>
            </w:r>
          </w:p>
        </w:tc>
        <w:tc>
          <w:tcPr>
            <w:tcW w:w="3145" w:type="dxa"/>
            <w:tcBorders>
              <w:top w:val="single" w:sz="4" w:space="0" w:color="auto"/>
              <w:left w:val="single" w:sz="4" w:space="0" w:color="auto"/>
              <w:bottom w:val="double" w:sz="4" w:space="0" w:color="auto"/>
            </w:tcBorders>
          </w:tcPr>
          <w:p w:rsidR="00E134E1" w:rsidRDefault="00E134E1" w:rsidP="008C37D4">
            <w:pPr>
              <w:jc w:val="center"/>
            </w:pPr>
            <w:r>
              <w:t>18 – 144 nmol/L</w:t>
            </w:r>
          </w:p>
        </w:tc>
        <w:tc>
          <w:tcPr>
            <w:tcW w:w="3209" w:type="dxa"/>
            <w:tcBorders>
              <w:top w:val="single" w:sz="4" w:space="0" w:color="auto"/>
              <w:bottom w:val="double" w:sz="4" w:space="0" w:color="auto"/>
              <w:right w:val="double" w:sz="4" w:space="0" w:color="auto"/>
            </w:tcBorders>
          </w:tcPr>
          <w:p w:rsidR="00E134E1" w:rsidRDefault="00E134E1" w:rsidP="00E134E1">
            <w:pPr>
              <w:jc w:val="center"/>
            </w:pPr>
            <w:r w:rsidRPr="00746FEC">
              <w:rPr>
                <w:b/>
              </w:rPr>
              <w:t>20 – 49 years</w:t>
            </w:r>
            <w:r>
              <w:t xml:space="preserve">: </w:t>
            </w:r>
            <w:r w:rsidR="00746FEC">
              <w:t xml:space="preserve">32.4 – 128 </w:t>
            </w:r>
            <w:r>
              <w:t>nmol/L</w:t>
            </w:r>
          </w:p>
          <w:p w:rsidR="00E134E1" w:rsidRDefault="00E134E1" w:rsidP="00E134E1">
            <w:pPr>
              <w:jc w:val="center"/>
            </w:pPr>
            <w:r w:rsidRPr="00746FEC">
              <w:rPr>
                <w:b/>
              </w:rPr>
              <w:t>≥ 50 years</w:t>
            </w:r>
            <w:r>
              <w:t>:</w:t>
            </w:r>
            <w:r w:rsidR="00746FEC">
              <w:t xml:space="preserve"> 27.1 - 128</w:t>
            </w:r>
            <w:r>
              <w:t xml:space="preserve"> nmol/L</w:t>
            </w:r>
          </w:p>
        </w:tc>
      </w:tr>
    </w:tbl>
    <w:p w:rsidR="00F1294C" w:rsidRDefault="00F1294C" w:rsidP="003D1958">
      <w:pPr>
        <w:jc w:val="both"/>
      </w:pPr>
    </w:p>
    <w:p w:rsidR="00E134E1" w:rsidRDefault="003D1958" w:rsidP="003D1958">
      <w:pPr>
        <w:jc w:val="both"/>
      </w:pPr>
      <w:r>
        <w:t xml:space="preserve">In view of the changes in testosterone and SHBG reference ranges </w:t>
      </w:r>
      <w:r w:rsidR="00DE2406">
        <w:t xml:space="preserve">in females </w:t>
      </w:r>
      <w:r>
        <w:t>there will be an associated change in the free androgen index reference range. The c</w:t>
      </w:r>
      <w:r w:rsidR="00E134E1">
        <w:t xml:space="preserve">hanges </w:t>
      </w:r>
      <w:r>
        <w:t xml:space="preserve">are summarised in the table below. </w:t>
      </w:r>
    </w:p>
    <w:tbl>
      <w:tblPr>
        <w:tblStyle w:val="TableGrid"/>
        <w:tblW w:w="0" w:type="auto"/>
        <w:tblInd w:w="108" w:type="dxa"/>
        <w:tblLook w:val="04A0" w:firstRow="1" w:lastRow="0" w:firstColumn="1" w:lastColumn="0" w:noHBand="0" w:noVBand="1"/>
      </w:tblPr>
      <w:tblGrid>
        <w:gridCol w:w="2780"/>
        <w:gridCol w:w="3145"/>
        <w:gridCol w:w="3209"/>
      </w:tblGrid>
      <w:tr w:rsidR="003D1958" w:rsidTr="00506FA5">
        <w:tc>
          <w:tcPr>
            <w:tcW w:w="9134" w:type="dxa"/>
            <w:gridSpan w:val="3"/>
            <w:tcBorders>
              <w:top w:val="double" w:sz="4" w:space="0" w:color="auto"/>
              <w:left w:val="double" w:sz="4" w:space="0" w:color="auto"/>
              <w:bottom w:val="double" w:sz="4" w:space="0" w:color="auto"/>
              <w:right w:val="double" w:sz="4" w:space="0" w:color="auto"/>
            </w:tcBorders>
          </w:tcPr>
          <w:p w:rsidR="003D1958" w:rsidRPr="00E07827" w:rsidRDefault="003D1958" w:rsidP="003D1958">
            <w:pPr>
              <w:jc w:val="center"/>
              <w:rPr>
                <w:b/>
              </w:rPr>
            </w:pPr>
            <w:r w:rsidRPr="00E07827">
              <w:rPr>
                <w:b/>
              </w:rPr>
              <w:t xml:space="preserve">Changes </w:t>
            </w:r>
            <w:r>
              <w:rPr>
                <w:b/>
              </w:rPr>
              <w:t>in Reference Ranges for Free Androgen Index</w:t>
            </w:r>
          </w:p>
        </w:tc>
      </w:tr>
      <w:tr w:rsidR="003D1958" w:rsidTr="00506FA5">
        <w:tc>
          <w:tcPr>
            <w:tcW w:w="2780" w:type="dxa"/>
            <w:tcBorders>
              <w:top w:val="double" w:sz="4" w:space="0" w:color="auto"/>
              <w:left w:val="double" w:sz="4" w:space="0" w:color="auto"/>
              <w:bottom w:val="double" w:sz="4" w:space="0" w:color="auto"/>
              <w:right w:val="double" w:sz="4" w:space="0" w:color="auto"/>
            </w:tcBorders>
          </w:tcPr>
          <w:p w:rsidR="003D1958" w:rsidRDefault="003D1958" w:rsidP="00506FA5">
            <w:pPr>
              <w:jc w:val="center"/>
            </w:pPr>
            <w:r>
              <w:t>Sex</w:t>
            </w:r>
          </w:p>
        </w:tc>
        <w:tc>
          <w:tcPr>
            <w:tcW w:w="3145" w:type="dxa"/>
            <w:tcBorders>
              <w:top w:val="double" w:sz="4" w:space="0" w:color="auto"/>
              <w:left w:val="double" w:sz="4" w:space="0" w:color="auto"/>
              <w:bottom w:val="double" w:sz="4" w:space="0" w:color="auto"/>
              <w:right w:val="double" w:sz="4" w:space="0" w:color="auto"/>
            </w:tcBorders>
          </w:tcPr>
          <w:p w:rsidR="003D1958" w:rsidRDefault="003D1958" w:rsidP="00506FA5">
            <w:pPr>
              <w:jc w:val="center"/>
            </w:pPr>
            <w:r>
              <w:t>Current Reference Range</w:t>
            </w:r>
          </w:p>
        </w:tc>
        <w:tc>
          <w:tcPr>
            <w:tcW w:w="3209" w:type="dxa"/>
            <w:tcBorders>
              <w:top w:val="double" w:sz="4" w:space="0" w:color="auto"/>
              <w:left w:val="double" w:sz="4" w:space="0" w:color="auto"/>
              <w:bottom w:val="double" w:sz="4" w:space="0" w:color="auto"/>
              <w:right w:val="double" w:sz="4" w:space="0" w:color="auto"/>
            </w:tcBorders>
          </w:tcPr>
          <w:p w:rsidR="003D1958" w:rsidRDefault="003D1958" w:rsidP="00506FA5">
            <w:pPr>
              <w:jc w:val="center"/>
            </w:pPr>
            <w:r>
              <w:t>New Reference Range</w:t>
            </w:r>
          </w:p>
        </w:tc>
      </w:tr>
      <w:tr w:rsidR="003D1958" w:rsidTr="00506FA5">
        <w:tc>
          <w:tcPr>
            <w:tcW w:w="2780" w:type="dxa"/>
            <w:tcBorders>
              <w:top w:val="single" w:sz="4" w:space="0" w:color="auto"/>
              <w:left w:val="double" w:sz="4" w:space="0" w:color="auto"/>
              <w:bottom w:val="double" w:sz="4" w:space="0" w:color="auto"/>
              <w:right w:val="single" w:sz="4" w:space="0" w:color="auto"/>
            </w:tcBorders>
          </w:tcPr>
          <w:p w:rsidR="003D1958" w:rsidRDefault="003D1958" w:rsidP="00506FA5">
            <w:pPr>
              <w:jc w:val="center"/>
            </w:pPr>
            <w:r>
              <w:t>Female</w:t>
            </w:r>
          </w:p>
        </w:tc>
        <w:tc>
          <w:tcPr>
            <w:tcW w:w="3145" w:type="dxa"/>
            <w:tcBorders>
              <w:top w:val="single" w:sz="4" w:space="0" w:color="auto"/>
              <w:left w:val="single" w:sz="4" w:space="0" w:color="auto"/>
              <w:bottom w:val="double" w:sz="4" w:space="0" w:color="auto"/>
            </w:tcBorders>
          </w:tcPr>
          <w:p w:rsidR="003D1958" w:rsidRDefault="003D1958" w:rsidP="00506FA5">
            <w:pPr>
              <w:jc w:val="center"/>
            </w:pPr>
            <w:r>
              <w:t>2 – 10 %</w:t>
            </w:r>
          </w:p>
        </w:tc>
        <w:tc>
          <w:tcPr>
            <w:tcW w:w="3209" w:type="dxa"/>
            <w:tcBorders>
              <w:top w:val="single" w:sz="4" w:space="0" w:color="auto"/>
              <w:bottom w:val="double" w:sz="4" w:space="0" w:color="auto"/>
              <w:right w:val="double" w:sz="4" w:space="0" w:color="auto"/>
            </w:tcBorders>
          </w:tcPr>
          <w:p w:rsidR="003D1958" w:rsidRDefault="003D1958" w:rsidP="00506FA5">
            <w:pPr>
              <w:jc w:val="center"/>
            </w:pPr>
            <w:r w:rsidRPr="00746FEC">
              <w:rPr>
                <w:b/>
              </w:rPr>
              <w:t>20 – 49 years</w:t>
            </w:r>
            <w:r w:rsidR="0098797C">
              <w:t>: 0.3</w:t>
            </w:r>
            <w:r w:rsidR="00FA4763">
              <w:t xml:space="preserve"> – 5.6</w:t>
            </w:r>
            <w:r>
              <w:t xml:space="preserve"> %</w:t>
            </w:r>
          </w:p>
          <w:p w:rsidR="003D1958" w:rsidRDefault="003D1958" w:rsidP="003D1958">
            <w:pPr>
              <w:jc w:val="center"/>
            </w:pPr>
            <w:r w:rsidRPr="00746FEC">
              <w:rPr>
                <w:b/>
              </w:rPr>
              <w:t>≥ 50 years</w:t>
            </w:r>
            <w:r w:rsidR="00FA4763">
              <w:t>: 0.2 – 3.6</w:t>
            </w:r>
            <w:r>
              <w:t xml:space="preserve"> %</w:t>
            </w:r>
          </w:p>
        </w:tc>
      </w:tr>
    </w:tbl>
    <w:p w:rsidR="003D1958" w:rsidRDefault="003D1958" w:rsidP="003D1958">
      <w:pPr>
        <w:jc w:val="both"/>
      </w:pPr>
    </w:p>
    <w:p w:rsidR="003D1958" w:rsidRDefault="003D1958" w:rsidP="003D1958">
      <w:pPr>
        <w:jc w:val="both"/>
      </w:pPr>
    </w:p>
    <w:sectPr w:rsidR="003D195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DFF" w:rsidRDefault="00746DFF" w:rsidP="00AF3B54">
      <w:pPr>
        <w:spacing w:after="0" w:line="240" w:lineRule="auto"/>
      </w:pPr>
      <w:r>
        <w:separator/>
      </w:r>
    </w:p>
  </w:endnote>
  <w:endnote w:type="continuationSeparator" w:id="0">
    <w:p w:rsidR="00746DFF" w:rsidRDefault="00746DFF" w:rsidP="00AF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B54" w:rsidRDefault="00AF3B54" w:rsidP="00AF3B54">
    <w:pPr>
      <w:pStyle w:val="Footer"/>
    </w:pPr>
    <w:r>
      <w:t>CB-INF-IMMUNOASSAY</w:t>
    </w:r>
    <w:r>
      <w:ptab w:relativeTo="margin" w:alignment="center" w:leader="none"/>
    </w:r>
    <w:r>
      <w:t>July 2017</w:t>
    </w:r>
    <w:r>
      <w:ptab w:relativeTo="margin" w:alignment="right" w:leader="none"/>
    </w:r>
    <w:r>
      <w:t>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DFF" w:rsidRDefault="00746DFF" w:rsidP="00AF3B54">
      <w:pPr>
        <w:spacing w:after="0" w:line="240" w:lineRule="auto"/>
      </w:pPr>
      <w:r>
        <w:separator/>
      </w:r>
    </w:p>
  </w:footnote>
  <w:footnote w:type="continuationSeparator" w:id="0">
    <w:p w:rsidR="00746DFF" w:rsidRDefault="00746DFF" w:rsidP="00AF3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D15"/>
    <w:multiLevelType w:val="hybridMultilevel"/>
    <w:tmpl w:val="B74C89DA"/>
    <w:lvl w:ilvl="0" w:tplc="E19E26BE">
      <w:start w:val="6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4C"/>
    <w:rsid w:val="000654A5"/>
    <w:rsid w:val="00095682"/>
    <w:rsid w:val="000D4B73"/>
    <w:rsid w:val="00104E9B"/>
    <w:rsid w:val="00112017"/>
    <w:rsid w:val="00112838"/>
    <w:rsid w:val="001148E2"/>
    <w:rsid w:val="00146308"/>
    <w:rsid w:val="00174A6A"/>
    <w:rsid w:val="001D2060"/>
    <w:rsid w:val="00201671"/>
    <w:rsid w:val="00203945"/>
    <w:rsid w:val="002D3A89"/>
    <w:rsid w:val="002E7146"/>
    <w:rsid w:val="002F4E94"/>
    <w:rsid w:val="00321217"/>
    <w:rsid w:val="00330F0A"/>
    <w:rsid w:val="00335ADC"/>
    <w:rsid w:val="00353B94"/>
    <w:rsid w:val="00395388"/>
    <w:rsid w:val="003B4563"/>
    <w:rsid w:val="003D1958"/>
    <w:rsid w:val="003D19FE"/>
    <w:rsid w:val="003D5229"/>
    <w:rsid w:val="003E74FA"/>
    <w:rsid w:val="00461379"/>
    <w:rsid w:val="004674B2"/>
    <w:rsid w:val="004925FA"/>
    <w:rsid w:val="004A7FE9"/>
    <w:rsid w:val="004F0A96"/>
    <w:rsid w:val="00501047"/>
    <w:rsid w:val="005779CF"/>
    <w:rsid w:val="00590E91"/>
    <w:rsid w:val="005C4157"/>
    <w:rsid w:val="005F74EF"/>
    <w:rsid w:val="006155CE"/>
    <w:rsid w:val="00637BEB"/>
    <w:rsid w:val="006B51EB"/>
    <w:rsid w:val="006D2CB3"/>
    <w:rsid w:val="006F49D9"/>
    <w:rsid w:val="00701FA2"/>
    <w:rsid w:val="00710DF9"/>
    <w:rsid w:val="007363FA"/>
    <w:rsid w:val="00746DFF"/>
    <w:rsid w:val="00746FEC"/>
    <w:rsid w:val="00782C38"/>
    <w:rsid w:val="00793857"/>
    <w:rsid w:val="007E4563"/>
    <w:rsid w:val="0088298B"/>
    <w:rsid w:val="008A5D8E"/>
    <w:rsid w:val="009163ED"/>
    <w:rsid w:val="0097059B"/>
    <w:rsid w:val="009811AA"/>
    <w:rsid w:val="0098797C"/>
    <w:rsid w:val="009B3FBE"/>
    <w:rsid w:val="009E667B"/>
    <w:rsid w:val="00A02424"/>
    <w:rsid w:val="00A275B3"/>
    <w:rsid w:val="00A348D8"/>
    <w:rsid w:val="00A92EC2"/>
    <w:rsid w:val="00A95DA5"/>
    <w:rsid w:val="00AB6CBD"/>
    <w:rsid w:val="00AD36AC"/>
    <w:rsid w:val="00AE50A9"/>
    <w:rsid w:val="00AF19A4"/>
    <w:rsid w:val="00AF3B54"/>
    <w:rsid w:val="00B126C0"/>
    <w:rsid w:val="00B74A28"/>
    <w:rsid w:val="00B849CB"/>
    <w:rsid w:val="00BE1418"/>
    <w:rsid w:val="00C02249"/>
    <w:rsid w:val="00C137A0"/>
    <w:rsid w:val="00C145C4"/>
    <w:rsid w:val="00C57BB2"/>
    <w:rsid w:val="00C815E4"/>
    <w:rsid w:val="00CA7DD1"/>
    <w:rsid w:val="00CE41E1"/>
    <w:rsid w:val="00CF0EF3"/>
    <w:rsid w:val="00D47B7A"/>
    <w:rsid w:val="00D60148"/>
    <w:rsid w:val="00D8055E"/>
    <w:rsid w:val="00DA3C35"/>
    <w:rsid w:val="00DA3C50"/>
    <w:rsid w:val="00DD1586"/>
    <w:rsid w:val="00DE2406"/>
    <w:rsid w:val="00E07827"/>
    <w:rsid w:val="00E134E1"/>
    <w:rsid w:val="00E608D3"/>
    <w:rsid w:val="00E64E19"/>
    <w:rsid w:val="00EA36C9"/>
    <w:rsid w:val="00EB7009"/>
    <w:rsid w:val="00ED50D6"/>
    <w:rsid w:val="00EE141C"/>
    <w:rsid w:val="00F1294C"/>
    <w:rsid w:val="00F3163E"/>
    <w:rsid w:val="00F31727"/>
    <w:rsid w:val="00F711E9"/>
    <w:rsid w:val="00F92728"/>
    <w:rsid w:val="00FA4763"/>
    <w:rsid w:val="00FB23B8"/>
    <w:rsid w:val="00FC7B8A"/>
    <w:rsid w:val="00FE3DC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1E1"/>
    <w:rPr>
      <w:color w:val="0000FF" w:themeColor="hyperlink"/>
      <w:u w:val="single"/>
    </w:rPr>
  </w:style>
  <w:style w:type="character" w:styleId="FollowedHyperlink">
    <w:name w:val="FollowedHyperlink"/>
    <w:basedOn w:val="DefaultParagraphFont"/>
    <w:uiPriority w:val="99"/>
    <w:semiHidden/>
    <w:unhideWhenUsed/>
    <w:rsid w:val="00CE41E1"/>
    <w:rPr>
      <w:color w:val="800080" w:themeColor="followedHyperlink"/>
      <w:u w:val="single"/>
    </w:rPr>
  </w:style>
  <w:style w:type="table" w:styleId="TableGrid">
    <w:name w:val="Table Grid"/>
    <w:basedOn w:val="TableNormal"/>
    <w:uiPriority w:val="59"/>
    <w:rsid w:val="0017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07827"/>
    <w:pPr>
      <w:spacing w:after="120" w:line="240" w:lineRule="auto"/>
      <w:jc w:val="both"/>
    </w:pPr>
    <w:rPr>
      <w:rFonts w:ascii="Arial" w:eastAsia="Times New Roman" w:hAnsi="Arial" w:cs="Times New Roman"/>
      <w:szCs w:val="20"/>
      <w:lang w:val="en-US"/>
    </w:rPr>
  </w:style>
  <w:style w:type="character" w:customStyle="1" w:styleId="EndnoteTextChar">
    <w:name w:val="Endnote Text Char"/>
    <w:basedOn w:val="DefaultParagraphFont"/>
    <w:link w:val="EndnoteText"/>
    <w:semiHidden/>
    <w:rsid w:val="00E07827"/>
    <w:rPr>
      <w:rFonts w:ascii="Arial" w:eastAsia="Times New Roman" w:hAnsi="Arial" w:cs="Times New Roman"/>
      <w:szCs w:val="20"/>
      <w:lang w:val="en-US"/>
    </w:rPr>
  </w:style>
  <w:style w:type="paragraph" w:styleId="ListParagraph">
    <w:name w:val="List Paragraph"/>
    <w:basedOn w:val="Normal"/>
    <w:uiPriority w:val="34"/>
    <w:qFormat/>
    <w:rsid w:val="00C815E4"/>
    <w:pPr>
      <w:ind w:left="720"/>
      <w:contextualSpacing/>
    </w:pPr>
  </w:style>
  <w:style w:type="character" w:styleId="CommentReference">
    <w:name w:val="annotation reference"/>
    <w:basedOn w:val="DefaultParagraphFont"/>
    <w:uiPriority w:val="99"/>
    <w:semiHidden/>
    <w:unhideWhenUsed/>
    <w:rsid w:val="00710DF9"/>
    <w:rPr>
      <w:sz w:val="16"/>
      <w:szCs w:val="16"/>
    </w:rPr>
  </w:style>
  <w:style w:type="paragraph" w:styleId="CommentText">
    <w:name w:val="annotation text"/>
    <w:basedOn w:val="Normal"/>
    <w:link w:val="CommentTextChar"/>
    <w:uiPriority w:val="99"/>
    <w:semiHidden/>
    <w:unhideWhenUsed/>
    <w:rsid w:val="00710DF9"/>
    <w:pPr>
      <w:spacing w:line="240" w:lineRule="auto"/>
    </w:pPr>
    <w:rPr>
      <w:sz w:val="20"/>
      <w:szCs w:val="20"/>
    </w:rPr>
  </w:style>
  <w:style w:type="character" w:customStyle="1" w:styleId="CommentTextChar">
    <w:name w:val="Comment Text Char"/>
    <w:basedOn w:val="DefaultParagraphFont"/>
    <w:link w:val="CommentText"/>
    <w:uiPriority w:val="99"/>
    <w:semiHidden/>
    <w:rsid w:val="00710DF9"/>
    <w:rPr>
      <w:sz w:val="20"/>
      <w:szCs w:val="20"/>
    </w:rPr>
  </w:style>
  <w:style w:type="paragraph" w:styleId="CommentSubject">
    <w:name w:val="annotation subject"/>
    <w:basedOn w:val="CommentText"/>
    <w:next w:val="CommentText"/>
    <w:link w:val="CommentSubjectChar"/>
    <w:uiPriority w:val="99"/>
    <w:semiHidden/>
    <w:unhideWhenUsed/>
    <w:rsid w:val="00710DF9"/>
    <w:rPr>
      <w:b/>
      <w:bCs/>
    </w:rPr>
  </w:style>
  <w:style w:type="character" w:customStyle="1" w:styleId="CommentSubjectChar">
    <w:name w:val="Comment Subject Char"/>
    <w:basedOn w:val="CommentTextChar"/>
    <w:link w:val="CommentSubject"/>
    <w:uiPriority w:val="99"/>
    <w:semiHidden/>
    <w:rsid w:val="00710DF9"/>
    <w:rPr>
      <w:b/>
      <w:bCs/>
      <w:sz w:val="20"/>
      <w:szCs w:val="20"/>
    </w:rPr>
  </w:style>
  <w:style w:type="paragraph" w:styleId="Revision">
    <w:name w:val="Revision"/>
    <w:hidden/>
    <w:uiPriority w:val="99"/>
    <w:semiHidden/>
    <w:rsid w:val="00710DF9"/>
    <w:pPr>
      <w:spacing w:after="0" w:line="240" w:lineRule="auto"/>
    </w:pPr>
  </w:style>
  <w:style w:type="paragraph" w:styleId="BalloonText">
    <w:name w:val="Balloon Text"/>
    <w:basedOn w:val="Normal"/>
    <w:link w:val="BalloonTextChar"/>
    <w:uiPriority w:val="99"/>
    <w:semiHidden/>
    <w:unhideWhenUsed/>
    <w:rsid w:val="0071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F9"/>
    <w:rPr>
      <w:rFonts w:ascii="Tahoma" w:hAnsi="Tahoma" w:cs="Tahoma"/>
      <w:sz w:val="16"/>
      <w:szCs w:val="16"/>
    </w:rPr>
  </w:style>
  <w:style w:type="paragraph" w:styleId="Header">
    <w:name w:val="header"/>
    <w:basedOn w:val="Normal"/>
    <w:link w:val="HeaderChar"/>
    <w:uiPriority w:val="99"/>
    <w:unhideWhenUsed/>
    <w:rsid w:val="00AF3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B54"/>
  </w:style>
  <w:style w:type="paragraph" w:styleId="Footer">
    <w:name w:val="footer"/>
    <w:basedOn w:val="Normal"/>
    <w:link w:val="FooterChar"/>
    <w:uiPriority w:val="99"/>
    <w:unhideWhenUsed/>
    <w:rsid w:val="00AF3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1E1"/>
    <w:rPr>
      <w:color w:val="0000FF" w:themeColor="hyperlink"/>
      <w:u w:val="single"/>
    </w:rPr>
  </w:style>
  <w:style w:type="character" w:styleId="FollowedHyperlink">
    <w:name w:val="FollowedHyperlink"/>
    <w:basedOn w:val="DefaultParagraphFont"/>
    <w:uiPriority w:val="99"/>
    <w:semiHidden/>
    <w:unhideWhenUsed/>
    <w:rsid w:val="00CE41E1"/>
    <w:rPr>
      <w:color w:val="800080" w:themeColor="followedHyperlink"/>
      <w:u w:val="single"/>
    </w:rPr>
  </w:style>
  <w:style w:type="table" w:styleId="TableGrid">
    <w:name w:val="Table Grid"/>
    <w:basedOn w:val="TableNormal"/>
    <w:uiPriority w:val="59"/>
    <w:rsid w:val="0017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07827"/>
    <w:pPr>
      <w:spacing w:after="120" w:line="240" w:lineRule="auto"/>
      <w:jc w:val="both"/>
    </w:pPr>
    <w:rPr>
      <w:rFonts w:ascii="Arial" w:eastAsia="Times New Roman" w:hAnsi="Arial" w:cs="Times New Roman"/>
      <w:szCs w:val="20"/>
      <w:lang w:val="en-US"/>
    </w:rPr>
  </w:style>
  <w:style w:type="character" w:customStyle="1" w:styleId="EndnoteTextChar">
    <w:name w:val="Endnote Text Char"/>
    <w:basedOn w:val="DefaultParagraphFont"/>
    <w:link w:val="EndnoteText"/>
    <w:semiHidden/>
    <w:rsid w:val="00E07827"/>
    <w:rPr>
      <w:rFonts w:ascii="Arial" w:eastAsia="Times New Roman" w:hAnsi="Arial" w:cs="Times New Roman"/>
      <w:szCs w:val="20"/>
      <w:lang w:val="en-US"/>
    </w:rPr>
  </w:style>
  <w:style w:type="paragraph" w:styleId="ListParagraph">
    <w:name w:val="List Paragraph"/>
    <w:basedOn w:val="Normal"/>
    <w:uiPriority w:val="34"/>
    <w:qFormat/>
    <w:rsid w:val="00C815E4"/>
    <w:pPr>
      <w:ind w:left="720"/>
      <w:contextualSpacing/>
    </w:pPr>
  </w:style>
  <w:style w:type="character" w:styleId="CommentReference">
    <w:name w:val="annotation reference"/>
    <w:basedOn w:val="DefaultParagraphFont"/>
    <w:uiPriority w:val="99"/>
    <w:semiHidden/>
    <w:unhideWhenUsed/>
    <w:rsid w:val="00710DF9"/>
    <w:rPr>
      <w:sz w:val="16"/>
      <w:szCs w:val="16"/>
    </w:rPr>
  </w:style>
  <w:style w:type="paragraph" w:styleId="CommentText">
    <w:name w:val="annotation text"/>
    <w:basedOn w:val="Normal"/>
    <w:link w:val="CommentTextChar"/>
    <w:uiPriority w:val="99"/>
    <w:semiHidden/>
    <w:unhideWhenUsed/>
    <w:rsid w:val="00710DF9"/>
    <w:pPr>
      <w:spacing w:line="240" w:lineRule="auto"/>
    </w:pPr>
    <w:rPr>
      <w:sz w:val="20"/>
      <w:szCs w:val="20"/>
    </w:rPr>
  </w:style>
  <w:style w:type="character" w:customStyle="1" w:styleId="CommentTextChar">
    <w:name w:val="Comment Text Char"/>
    <w:basedOn w:val="DefaultParagraphFont"/>
    <w:link w:val="CommentText"/>
    <w:uiPriority w:val="99"/>
    <w:semiHidden/>
    <w:rsid w:val="00710DF9"/>
    <w:rPr>
      <w:sz w:val="20"/>
      <w:szCs w:val="20"/>
    </w:rPr>
  </w:style>
  <w:style w:type="paragraph" w:styleId="CommentSubject">
    <w:name w:val="annotation subject"/>
    <w:basedOn w:val="CommentText"/>
    <w:next w:val="CommentText"/>
    <w:link w:val="CommentSubjectChar"/>
    <w:uiPriority w:val="99"/>
    <w:semiHidden/>
    <w:unhideWhenUsed/>
    <w:rsid w:val="00710DF9"/>
    <w:rPr>
      <w:b/>
      <w:bCs/>
    </w:rPr>
  </w:style>
  <w:style w:type="character" w:customStyle="1" w:styleId="CommentSubjectChar">
    <w:name w:val="Comment Subject Char"/>
    <w:basedOn w:val="CommentTextChar"/>
    <w:link w:val="CommentSubject"/>
    <w:uiPriority w:val="99"/>
    <w:semiHidden/>
    <w:rsid w:val="00710DF9"/>
    <w:rPr>
      <w:b/>
      <w:bCs/>
      <w:sz w:val="20"/>
      <w:szCs w:val="20"/>
    </w:rPr>
  </w:style>
  <w:style w:type="paragraph" w:styleId="Revision">
    <w:name w:val="Revision"/>
    <w:hidden/>
    <w:uiPriority w:val="99"/>
    <w:semiHidden/>
    <w:rsid w:val="00710DF9"/>
    <w:pPr>
      <w:spacing w:after="0" w:line="240" w:lineRule="auto"/>
    </w:pPr>
  </w:style>
  <w:style w:type="paragraph" w:styleId="BalloonText">
    <w:name w:val="Balloon Text"/>
    <w:basedOn w:val="Normal"/>
    <w:link w:val="BalloonTextChar"/>
    <w:uiPriority w:val="99"/>
    <w:semiHidden/>
    <w:unhideWhenUsed/>
    <w:rsid w:val="0071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F9"/>
    <w:rPr>
      <w:rFonts w:ascii="Tahoma" w:hAnsi="Tahoma" w:cs="Tahoma"/>
      <w:sz w:val="16"/>
      <w:szCs w:val="16"/>
    </w:rPr>
  </w:style>
  <w:style w:type="paragraph" w:styleId="Header">
    <w:name w:val="header"/>
    <w:basedOn w:val="Normal"/>
    <w:link w:val="HeaderChar"/>
    <w:uiPriority w:val="99"/>
    <w:unhideWhenUsed/>
    <w:rsid w:val="00AF3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B54"/>
  </w:style>
  <w:style w:type="paragraph" w:styleId="Footer">
    <w:name w:val="footer"/>
    <w:basedOn w:val="Normal"/>
    <w:link w:val="FooterChar"/>
    <w:uiPriority w:val="99"/>
    <w:unhideWhenUsed/>
    <w:rsid w:val="00AF3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ks.nice.org.uk/prostate-cancer"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inyurl.com/LabMedNews" TargetMode="External"/><Relationship Id="rId17" Type="http://schemas.openxmlformats.org/officeDocument/2006/relationships/hyperlink" Target="https://tinyurl.com/PrimaryCareInfo" TargetMode="External"/><Relationship Id="rId2" Type="http://schemas.openxmlformats.org/officeDocument/2006/relationships/styles" Target="styles.xml"/><Relationship Id="rId16" Type="http://schemas.openxmlformats.org/officeDocument/2006/relationships/hyperlink" Target="https://tinyurl.com/PrimaryCareInf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ison.jones@york.nhs.uk" TargetMode="External"/><Relationship Id="rId5" Type="http://schemas.openxmlformats.org/officeDocument/2006/relationships/webSettings" Target="webSettings.xml"/><Relationship Id="rId15" Type="http://schemas.openxmlformats.org/officeDocument/2006/relationships/hyperlink" Target="http://www.acb.org.uk/docs/default-source/guidelines/TFTguidelinefinal.pdf" TargetMode="External"/><Relationship Id="rId10" Type="http://schemas.openxmlformats.org/officeDocument/2006/relationships/hyperlink" Target="mailto:deepak.chandrajay@york.nhs.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aire.l.chapman@york.nhs.uk" TargetMode="External"/><Relationship Id="rId14" Type="http://schemas.openxmlformats.org/officeDocument/2006/relationships/hyperlink" Target="http://www.british-thyroid-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65E37137</Template>
  <TotalTime>1</TotalTime>
  <Pages>8</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Claire - BMS</dc:creator>
  <cp:lastModifiedBy>Fox, Elizabeth</cp:lastModifiedBy>
  <cp:revision>2</cp:revision>
  <dcterms:created xsi:type="dcterms:W3CDTF">2018-05-21T13:26:00Z</dcterms:created>
  <dcterms:modified xsi:type="dcterms:W3CDTF">2018-05-21T13:26:00Z</dcterms:modified>
</cp:coreProperties>
</file>