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AA" w:rsidRDefault="009811AA" w:rsidP="00112838">
      <w:pPr>
        <w:jc w:val="center"/>
        <w:rPr>
          <w:sz w:val="48"/>
          <w:szCs w:val="48"/>
        </w:rPr>
      </w:pPr>
      <w:bookmarkStart w:id="0" w:name="_GoBack"/>
      <w:bookmarkEnd w:id="0"/>
    </w:p>
    <w:p w:rsidR="009811AA" w:rsidRDefault="004A7FE9" w:rsidP="004A7FE9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5734050" cy="82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AA" w:rsidRDefault="009811AA" w:rsidP="00112838">
      <w:pPr>
        <w:jc w:val="center"/>
        <w:rPr>
          <w:sz w:val="48"/>
          <w:szCs w:val="48"/>
        </w:rPr>
      </w:pPr>
    </w:p>
    <w:p w:rsidR="009811AA" w:rsidRDefault="009811AA" w:rsidP="00112838">
      <w:pPr>
        <w:jc w:val="center"/>
        <w:rPr>
          <w:sz w:val="48"/>
          <w:szCs w:val="48"/>
        </w:rPr>
      </w:pPr>
    </w:p>
    <w:p w:rsidR="009811AA" w:rsidRDefault="009811AA" w:rsidP="00112838">
      <w:pPr>
        <w:jc w:val="center"/>
        <w:rPr>
          <w:sz w:val="48"/>
          <w:szCs w:val="48"/>
        </w:rPr>
      </w:pPr>
    </w:p>
    <w:p w:rsidR="000A729D" w:rsidRDefault="00F1294C" w:rsidP="00112838">
      <w:pPr>
        <w:jc w:val="center"/>
        <w:rPr>
          <w:sz w:val="48"/>
          <w:szCs w:val="48"/>
        </w:rPr>
      </w:pPr>
      <w:r w:rsidRPr="00112838">
        <w:rPr>
          <w:sz w:val="48"/>
          <w:szCs w:val="48"/>
        </w:rPr>
        <w:t xml:space="preserve">Notification of Changes to </w:t>
      </w:r>
      <w:r w:rsidR="00112838" w:rsidRPr="00112838">
        <w:rPr>
          <w:sz w:val="48"/>
          <w:szCs w:val="48"/>
        </w:rPr>
        <w:t>Service Provision</w:t>
      </w:r>
    </w:p>
    <w:p w:rsidR="0010530B" w:rsidRDefault="0010530B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Changes to dsDNA Antibody Tests</w:t>
      </w:r>
    </w:p>
    <w:p w:rsidR="00620EAA" w:rsidRPr="00620EAA" w:rsidRDefault="0010530B" w:rsidP="001128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01/06/2020</w:t>
      </w:r>
    </w:p>
    <w:p w:rsidR="00112838" w:rsidRDefault="000A729D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Immunology</w:t>
      </w:r>
    </w:p>
    <w:p w:rsidR="00112838" w:rsidRDefault="00112838" w:rsidP="00112838">
      <w:pPr>
        <w:jc w:val="center"/>
        <w:rPr>
          <w:sz w:val="48"/>
          <w:szCs w:val="48"/>
        </w:rPr>
      </w:pPr>
      <w:r>
        <w:rPr>
          <w:sz w:val="48"/>
          <w:szCs w:val="48"/>
        </w:rPr>
        <w:t>York Teaching Hospital NHS Foundation Trust</w:t>
      </w:r>
    </w:p>
    <w:p w:rsidR="00112838" w:rsidRDefault="00112838" w:rsidP="00112838">
      <w:pPr>
        <w:jc w:val="center"/>
        <w:rPr>
          <w:sz w:val="48"/>
          <w:szCs w:val="48"/>
        </w:rPr>
      </w:pPr>
    </w:p>
    <w:p w:rsidR="00112838" w:rsidRDefault="00112838">
      <w:r>
        <w:br w:type="page"/>
      </w:r>
    </w:p>
    <w:p w:rsidR="00112838" w:rsidRPr="00112838" w:rsidRDefault="00112838">
      <w:pPr>
        <w:rPr>
          <w:b/>
          <w:sz w:val="28"/>
          <w:szCs w:val="28"/>
        </w:rPr>
      </w:pPr>
      <w:r w:rsidRPr="00112838">
        <w:rPr>
          <w:b/>
          <w:sz w:val="28"/>
          <w:szCs w:val="28"/>
        </w:rPr>
        <w:lastRenderedPageBreak/>
        <w:t>Introduction</w:t>
      </w:r>
    </w:p>
    <w:p w:rsidR="0010530B" w:rsidRDefault="000A729D" w:rsidP="0010530B">
      <w:pPr>
        <w:rPr>
          <w:sz w:val="24"/>
          <w:szCs w:val="24"/>
        </w:rPr>
      </w:pPr>
      <w:r w:rsidRPr="0010530B">
        <w:rPr>
          <w:sz w:val="24"/>
          <w:szCs w:val="24"/>
        </w:rPr>
        <w:t xml:space="preserve">In 2018 following a competitive tender that was awarded to </w:t>
      </w:r>
      <w:proofErr w:type="spellStart"/>
      <w:r w:rsidRPr="0010530B">
        <w:rPr>
          <w:sz w:val="24"/>
          <w:szCs w:val="24"/>
        </w:rPr>
        <w:t>Werfen</w:t>
      </w:r>
      <w:proofErr w:type="spellEnd"/>
      <w:r w:rsidRPr="0010530B">
        <w:rPr>
          <w:sz w:val="24"/>
          <w:szCs w:val="24"/>
        </w:rPr>
        <w:t xml:space="preserve"> Limited, Autoimmune serology undertook a major laboratory equipment upgrade </w:t>
      </w:r>
      <w:r w:rsidR="0010530B">
        <w:rPr>
          <w:sz w:val="24"/>
          <w:szCs w:val="24"/>
        </w:rPr>
        <w:t>replacing all platforms.</w:t>
      </w:r>
      <w:r w:rsidR="0010530B" w:rsidRPr="0010530B">
        <w:rPr>
          <w:sz w:val="24"/>
          <w:szCs w:val="24"/>
        </w:rPr>
        <w:t xml:space="preserve"> Currently requests for Anti-dsDNA antibodies are screened for anti-nuclear antibodies (ANA) by indirect immunofluorescence (IIF) on Hep2 slides. The samples will be processed further for Anti-ds DNA and ENA antibodies only if immunofluorescence is positive. For anti-dsDNA, the next stage would be an ELISA assay on a DS-2 analyser. </w:t>
      </w:r>
      <w:r w:rsidR="0010530B">
        <w:rPr>
          <w:sz w:val="24"/>
          <w:szCs w:val="24"/>
        </w:rPr>
        <w:t>From 01/06/2020</w:t>
      </w:r>
      <w:r w:rsidR="0010530B" w:rsidRPr="0010530B">
        <w:rPr>
          <w:sz w:val="24"/>
          <w:szCs w:val="24"/>
        </w:rPr>
        <w:t xml:space="preserve"> we will be changing this method and platform to the </w:t>
      </w:r>
      <w:proofErr w:type="spellStart"/>
      <w:r w:rsidR="0010530B" w:rsidRPr="0010530B">
        <w:rPr>
          <w:sz w:val="24"/>
          <w:szCs w:val="24"/>
        </w:rPr>
        <w:t>chemiluminescence</w:t>
      </w:r>
      <w:proofErr w:type="spellEnd"/>
      <w:r w:rsidR="0010530B" w:rsidRPr="0010530B">
        <w:rPr>
          <w:sz w:val="24"/>
          <w:szCs w:val="24"/>
        </w:rPr>
        <w:t xml:space="preserve"> method on the </w:t>
      </w:r>
      <w:proofErr w:type="spellStart"/>
      <w:r w:rsidR="0010530B" w:rsidRPr="0010530B">
        <w:rPr>
          <w:sz w:val="24"/>
          <w:szCs w:val="24"/>
        </w:rPr>
        <w:t>Werfen</w:t>
      </w:r>
      <w:proofErr w:type="spellEnd"/>
      <w:r w:rsidR="0010530B" w:rsidRPr="0010530B">
        <w:rPr>
          <w:sz w:val="24"/>
          <w:szCs w:val="24"/>
        </w:rPr>
        <w:t xml:space="preserve"> </w:t>
      </w:r>
      <w:proofErr w:type="spellStart"/>
      <w:r w:rsidR="0010530B" w:rsidRPr="0010530B">
        <w:rPr>
          <w:sz w:val="24"/>
          <w:szCs w:val="24"/>
        </w:rPr>
        <w:t>BioFlash</w:t>
      </w:r>
      <w:proofErr w:type="spellEnd"/>
      <w:r w:rsidR="0010530B" w:rsidRPr="0010530B">
        <w:rPr>
          <w:sz w:val="24"/>
          <w:szCs w:val="24"/>
        </w:rPr>
        <w:t xml:space="preserve"> analyser for detecting anti-ds DNA.</w:t>
      </w:r>
    </w:p>
    <w:p w:rsidR="0010530B" w:rsidRPr="0010530B" w:rsidRDefault="0010530B" w:rsidP="0010530B">
      <w:pPr>
        <w:rPr>
          <w:sz w:val="24"/>
          <w:szCs w:val="24"/>
        </w:rPr>
      </w:pPr>
    </w:p>
    <w:p w:rsidR="0010530B" w:rsidRPr="0010530B" w:rsidRDefault="0010530B" w:rsidP="001053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530B">
        <w:rPr>
          <w:sz w:val="24"/>
          <w:szCs w:val="24"/>
        </w:rPr>
        <w:t>The reference ranges for this test will also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0530B" w:rsidRPr="0010530B" w:rsidTr="00494C63"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 w:rsidRPr="0010530B">
              <w:rPr>
                <w:b/>
                <w:bCs/>
                <w:sz w:val="24"/>
                <w:szCs w:val="24"/>
              </w:rPr>
              <w:t>Anti-dsDNA Ab Reference range (DS-2 ELISA) (in-house current assay)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 w:rsidRPr="0010530B">
              <w:rPr>
                <w:b/>
                <w:bCs/>
                <w:sz w:val="24"/>
                <w:szCs w:val="24"/>
              </w:rPr>
              <w:t>Anti-dsDNA Ab Reference range (</w:t>
            </w:r>
            <w:proofErr w:type="spellStart"/>
            <w:r w:rsidRPr="0010530B">
              <w:rPr>
                <w:b/>
                <w:bCs/>
                <w:sz w:val="24"/>
                <w:szCs w:val="24"/>
              </w:rPr>
              <w:t>BioFlash</w:t>
            </w:r>
            <w:proofErr w:type="spellEnd"/>
            <w:r w:rsidRPr="0010530B">
              <w:rPr>
                <w:b/>
                <w:bCs/>
                <w:sz w:val="24"/>
                <w:szCs w:val="24"/>
              </w:rPr>
              <w:t>)</w:t>
            </w:r>
          </w:p>
          <w:p w:rsidR="0010530B" w:rsidRPr="0010530B" w:rsidRDefault="0010530B" w:rsidP="00494C63">
            <w:pPr>
              <w:jc w:val="center"/>
              <w:rPr>
                <w:b/>
                <w:bCs/>
                <w:sz w:val="24"/>
                <w:szCs w:val="24"/>
              </w:rPr>
            </w:pPr>
            <w:r w:rsidRPr="0010530B">
              <w:rPr>
                <w:b/>
                <w:bCs/>
                <w:sz w:val="24"/>
                <w:szCs w:val="24"/>
              </w:rPr>
              <w:t>(New assay)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  <w:r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&lt;17.28 IU/ml : Negative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30B">
              <w:rPr>
                <w:rFonts w:cstheme="minorHAnsi"/>
                <w:sz w:val="24"/>
                <w:szCs w:val="24"/>
              </w:rPr>
              <w:t>&lt;27.00 IU/mL : Negative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30B">
              <w:rPr>
                <w:rFonts w:cstheme="minorHAnsi"/>
                <w:sz w:val="24"/>
                <w:szCs w:val="24"/>
              </w:rPr>
              <w:t>17.29 – 22.64 IU/mL : Equivocal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30B">
              <w:rPr>
                <w:rFonts w:cstheme="minorHAnsi"/>
                <w:sz w:val="24"/>
                <w:szCs w:val="24"/>
              </w:rPr>
              <w:t>27.00 – 35.00 IU/mL : Equivocal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  <w:r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22.65- 31.85 IU/ml : Low Positive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530B">
              <w:rPr>
                <w:rFonts w:cstheme="minorHAnsi"/>
                <w:sz w:val="24"/>
                <w:szCs w:val="24"/>
              </w:rPr>
              <w:t>&gt;35.00  IU/mL : Positive</w:t>
            </w: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  <w:r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31.85 - 87.23 IU/ml: Positive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5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&gt;87.23 IU/ml: Strong Positive</w:t>
            </w: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</w:p>
        </w:tc>
      </w:tr>
      <w:tr w:rsidR="0010530B" w:rsidRPr="0010530B" w:rsidTr="00494C63">
        <w:tc>
          <w:tcPr>
            <w:tcW w:w="4505" w:type="dxa"/>
            <w:vAlign w:val="bottom"/>
          </w:tcPr>
          <w:p w:rsidR="0010530B" w:rsidRPr="0010530B" w:rsidRDefault="0010530B" w:rsidP="00494C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5" w:type="dxa"/>
          </w:tcPr>
          <w:p w:rsidR="0010530B" w:rsidRPr="0010530B" w:rsidRDefault="0010530B" w:rsidP="00494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0932" w:rsidRPr="0010530B" w:rsidRDefault="008C0932" w:rsidP="00D8055E">
      <w:pPr>
        <w:jc w:val="both"/>
        <w:rPr>
          <w:sz w:val="24"/>
          <w:szCs w:val="24"/>
        </w:rPr>
      </w:pPr>
    </w:p>
    <w:p w:rsidR="0010530B" w:rsidRPr="0010530B" w:rsidRDefault="0010530B" w:rsidP="0010530B">
      <w:pPr>
        <w:rPr>
          <w:rFonts w:cstheme="minorHAnsi"/>
          <w:sz w:val="24"/>
          <w:szCs w:val="24"/>
        </w:rPr>
      </w:pPr>
      <w:r w:rsidRPr="0010530B">
        <w:rPr>
          <w:rFonts w:cstheme="minorHAnsi"/>
          <w:sz w:val="24"/>
          <w:szCs w:val="24"/>
        </w:rPr>
        <w:t xml:space="preserve">Both the current and the new methodologies for detection and quantitation of anti-dsDNA Ab are traceable to the same WHO standard. However, as the manufacturer recommended cut-off for the new assay is higher than that of the current method, the new method may be less sensitive for the detection of anti-dsDNA than the previous assay. Therefore, please interpret all dsDNA Ab results in the context of ANA IIF and clinical details.   </w:t>
      </w:r>
    </w:p>
    <w:p w:rsidR="0010530B" w:rsidRPr="0010530B" w:rsidRDefault="0010530B" w:rsidP="0010530B">
      <w:pPr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</w:pPr>
      <w:r w:rsidRPr="0010530B">
        <w:rPr>
          <w:rFonts w:cstheme="minorHAnsi"/>
          <w:sz w:val="24"/>
          <w:szCs w:val="24"/>
        </w:rPr>
        <w:t xml:space="preserve">If you require further advice on the interpretation of these result please email </w:t>
      </w:r>
      <w:hyperlink r:id="rId9" w:history="1">
        <w:r w:rsidRPr="0010530B">
          <w:rPr>
            <w:rStyle w:val="Hyperlink"/>
            <w:rFonts w:cstheme="minorHAnsi"/>
            <w:b/>
            <w:bCs/>
            <w:sz w:val="24"/>
            <w:szCs w:val="24"/>
          </w:rPr>
          <w:t>L</w:t>
        </w:r>
        <w:r w:rsidRPr="0010530B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eedsth-tr.immunologyclinicalenquiry@nhs.net</w:t>
        </w:r>
      </w:hyperlink>
      <w:r w:rsidRPr="0010530B">
        <w:rPr>
          <w:rFonts w:eastAsia="Times New Roman" w:cstheme="minorHAnsi"/>
          <w:b/>
          <w:bCs/>
          <w:color w:val="0070C0"/>
          <w:sz w:val="24"/>
          <w:szCs w:val="24"/>
          <w:lang w:eastAsia="en-GB"/>
        </w:rPr>
        <w:t xml:space="preserve"> </w:t>
      </w:r>
    </w:p>
    <w:p w:rsidR="0010530B" w:rsidRPr="0010530B" w:rsidRDefault="0010530B" w:rsidP="0010530B">
      <w:pPr>
        <w:rPr>
          <w:rFonts w:cstheme="minorHAnsi"/>
          <w:sz w:val="24"/>
          <w:szCs w:val="24"/>
        </w:rPr>
      </w:pPr>
    </w:p>
    <w:p w:rsidR="0010530B" w:rsidRPr="0010530B" w:rsidRDefault="0010530B" w:rsidP="0010530B">
      <w:pPr>
        <w:rPr>
          <w:rFonts w:cstheme="minorHAnsi"/>
          <w:sz w:val="24"/>
          <w:szCs w:val="24"/>
        </w:rPr>
      </w:pPr>
      <w:r w:rsidRPr="0010530B">
        <w:rPr>
          <w:rFonts w:cstheme="minorHAnsi"/>
          <w:sz w:val="24"/>
          <w:szCs w:val="24"/>
        </w:rPr>
        <w:t xml:space="preserve">Here is a summary of the dsDNA data.  Overall agreement 86.5% (Equivocal results for both assays interpreted as negative).  Review of clinical details for discrepant results suggest that the newer </w:t>
      </w:r>
      <w:proofErr w:type="spellStart"/>
      <w:r w:rsidRPr="0010530B">
        <w:rPr>
          <w:rFonts w:cstheme="minorHAnsi"/>
          <w:sz w:val="24"/>
          <w:szCs w:val="24"/>
        </w:rPr>
        <w:t>Bioflash</w:t>
      </w:r>
      <w:proofErr w:type="spellEnd"/>
      <w:r w:rsidRPr="0010530B">
        <w:rPr>
          <w:rFonts w:cstheme="minorHAnsi"/>
          <w:sz w:val="24"/>
          <w:szCs w:val="24"/>
        </w:rPr>
        <w:t xml:space="preserve"> assay is less sensitive in some </w:t>
      </w:r>
      <w:r w:rsidR="00DE32BD">
        <w:rPr>
          <w:rFonts w:cstheme="minorHAnsi"/>
          <w:sz w:val="24"/>
          <w:szCs w:val="24"/>
        </w:rPr>
        <w:t>cases but more sensitive</w:t>
      </w:r>
      <w:r w:rsidRPr="0010530B">
        <w:rPr>
          <w:rFonts w:cstheme="minorHAnsi"/>
          <w:sz w:val="24"/>
          <w:szCs w:val="24"/>
        </w:rPr>
        <w:t xml:space="preserve"> in other cases. However, in those instances where the </w:t>
      </w:r>
      <w:proofErr w:type="spellStart"/>
      <w:r w:rsidRPr="0010530B">
        <w:rPr>
          <w:rFonts w:cstheme="minorHAnsi"/>
          <w:sz w:val="24"/>
          <w:szCs w:val="24"/>
        </w:rPr>
        <w:t>Bioflash</w:t>
      </w:r>
      <w:proofErr w:type="spellEnd"/>
      <w:r w:rsidRPr="0010530B">
        <w:rPr>
          <w:rFonts w:cstheme="minorHAnsi"/>
          <w:sz w:val="24"/>
          <w:szCs w:val="24"/>
        </w:rPr>
        <w:t xml:space="preserve"> assay was less sensitive and provided clin</w:t>
      </w:r>
      <w:r w:rsidR="00DE32BD">
        <w:rPr>
          <w:rFonts w:cstheme="minorHAnsi"/>
          <w:sz w:val="24"/>
          <w:szCs w:val="24"/>
        </w:rPr>
        <w:t>i</w:t>
      </w:r>
      <w:r w:rsidRPr="0010530B">
        <w:rPr>
          <w:rFonts w:cstheme="minorHAnsi"/>
          <w:sz w:val="24"/>
          <w:szCs w:val="24"/>
        </w:rPr>
        <w:t>cal details were suggestive of CTD, the ANA was positive by IIF at a high titre. Therefore, results of anti-dsDNA should be interpreted along with ANA by IIF particularly in patients with clinical features of CTD.</w:t>
      </w:r>
    </w:p>
    <w:p w:rsidR="0010530B" w:rsidRPr="000A729D" w:rsidRDefault="0010530B" w:rsidP="00D8055E">
      <w:pPr>
        <w:jc w:val="both"/>
        <w:rPr>
          <w:sz w:val="24"/>
          <w:szCs w:val="24"/>
        </w:rPr>
      </w:pPr>
    </w:p>
    <w:p w:rsidR="00DE32BD" w:rsidRPr="00DE32BD" w:rsidRDefault="00DE32BD" w:rsidP="00D805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</w:t>
      </w:r>
    </w:p>
    <w:p w:rsidR="000A729D" w:rsidRDefault="0010530B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Although the new assay has gone through a rigorous verification process</w:t>
      </w:r>
      <w:r w:rsidR="00DE32BD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DE32BD">
        <w:rPr>
          <w:sz w:val="24"/>
          <w:szCs w:val="24"/>
        </w:rPr>
        <w:t>t is pending UKAS accreditation</w:t>
      </w:r>
      <w:r>
        <w:rPr>
          <w:sz w:val="24"/>
          <w:szCs w:val="24"/>
        </w:rPr>
        <w:t xml:space="preserve"> until further notice.</w:t>
      </w:r>
    </w:p>
    <w:p w:rsidR="000A729D" w:rsidRPr="00DE32BD" w:rsidRDefault="0010530B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DE32BD">
        <w:rPr>
          <w:sz w:val="24"/>
          <w:szCs w:val="24"/>
        </w:rPr>
        <w:t>reference range has changed, we are aware that this could impact on patient treatment thus the immunology department will also offer a dsDNA value from the previous method on patients known to have CTD for a short period of time.</w:t>
      </w:r>
    </w:p>
    <w:p w:rsidR="000A729D" w:rsidRDefault="000A729D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queries regarding the content of this notification then please do not hesitate to contact the laboratory using the contact details below</w:t>
      </w:r>
      <w:r w:rsidR="00272C01">
        <w:rPr>
          <w:sz w:val="24"/>
          <w:szCs w:val="24"/>
        </w:rPr>
        <w:t>.</w:t>
      </w:r>
    </w:p>
    <w:p w:rsidR="00272C01" w:rsidRDefault="00272C01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Anna Buxton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Immunology Section Lead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01904 725738</w:t>
      </w:r>
    </w:p>
    <w:p w:rsidR="00272C01" w:rsidRDefault="001531FC" w:rsidP="00D8055E">
      <w:pPr>
        <w:jc w:val="both"/>
        <w:rPr>
          <w:sz w:val="24"/>
          <w:szCs w:val="24"/>
        </w:rPr>
      </w:pPr>
      <w:hyperlink r:id="rId10" w:history="1">
        <w:r w:rsidR="00272C01" w:rsidRPr="005C58D6">
          <w:rPr>
            <w:rStyle w:val="Hyperlink"/>
            <w:sz w:val="24"/>
            <w:szCs w:val="24"/>
          </w:rPr>
          <w:t>Anna.buxton@York.nhs.uk</w:t>
        </w:r>
      </w:hyperlink>
    </w:p>
    <w:p w:rsidR="00272C01" w:rsidRDefault="00272C01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Richard Adams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Operational Manager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01904</w:t>
      </w:r>
      <w:r w:rsidR="00EC3B42">
        <w:rPr>
          <w:sz w:val="24"/>
          <w:szCs w:val="24"/>
        </w:rPr>
        <w:t xml:space="preserve"> 725642</w:t>
      </w:r>
    </w:p>
    <w:p w:rsidR="00272C01" w:rsidRDefault="001531FC" w:rsidP="00D8055E">
      <w:pPr>
        <w:jc w:val="both"/>
        <w:rPr>
          <w:sz w:val="24"/>
          <w:szCs w:val="24"/>
        </w:rPr>
      </w:pPr>
      <w:hyperlink r:id="rId11" w:history="1">
        <w:r w:rsidR="00272C01" w:rsidRPr="005C58D6">
          <w:rPr>
            <w:rStyle w:val="Hyperlink"/>
            <w:sz w:val="24"/>
            <w:szCs w:val="24"/>
          </w:rPr>
          <w:t>Richard.Adams@York.nhs.uk</w:t>
        </w:r>
      </w:hyperlink>
    </w:p>
    <w:p w:rsidR="00272C01" w:rsidRDefault="00272C01" w:rsidP="00D8055E">
      <w:pPr>
        <w:jc w:val="both"/>
        <w:rPr>
          <w:sz w:val="24"/>
          <w:szCs w:val="24"/>
        </w:rPr>
      </w:pPr>
    </w:p>
    <w:p w:rsidR="00C27B01" w:rsidRDefault="00C27B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Dr Anna McHugh</w:t>
      </w:r>
    </w:p>
    <w:p w:rsidR="00C27B01" w:rsidRDefault="00C27B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Clinical Scientist</w:t>
      </w:r>
    </w:p>
    <w:p w:rsidR="00C27B01" w:rsidRDefault="00C27B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0113 3925550</w:t>
      </w:r>
    </w:p>
    <w:p w:rsidR="00C27B01" w:rsidRDefault="00C27B01" w:rsidP="00D8055E">
      <w:pPr>
        <w:jc w:val="both"/>
        <w:rPr>
          <w:sz w:val="24"/>
          <w:szCs w:val="24"/>
        </w:rPr>
      </w:pP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Immunology Clinical Team</w:t>
      </w:r>
    </w:p>
    <w:p w:rsidR="00272C01" w:rsidRDefault="00272C01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through Leeds</w:t>
      </w:r>
      <w:r w:rsidR="00D45543">
        <w:rPr>
          <w:sz w:val="24"/>
          <w:szCs w:val="24"/>
        </w:rPr>
        <w:t xml:space="preserve"> Teaching Hospital Switchboard</w:t>
      </w:r>
    </w:p>
    <w:p w:rsidR="00EC3B42" w:rsidRDefault="00EC3B42" w:rsidP="00D8055E">
      <w:pPr>
        <w:jc w:val="both"/>
        <w:rPr>
          <w:sz w:val="24"/>
          <w:szCs w:val="24"/>
        </w:rPr>
      </w:pPr>
      <w:r>
        <w:rPr>
          <w:sz w:val="24"/>
          <w:szCs w:val="24"/>
        </w:rPr>
        <w:t>0113 2432799</w:t>
      </w:r>
    </w:p>
    <w:p w:rsidR="00272C01" w:rsidRPr="000A729D" w:rsidRDefault="00272C01" w:rsidP="00D8055E">
      <w:pPr>
        <w:jc w:val="both"/>
        <w:rPr>
          <w:sz w:val="24"/>
          <w:szCs w:val="24"/>
        </w:rPr>
      </w:pPr>
    </w:p>
    <w:p w:rsidR="00AF3B54" w:rsidRDefault="00AF3B54" w:rsidP="00D8055E">
      <w:pPr>
        <w:jc w:val="both"/>
        <w:rPr>
          <w:b/>
          <w:i/>
          <w:iCs/>
        </w:rPr>
      </w:pPr>
    </w:p>
    <w:sectPr w:rsidR="00AF3B5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89" w:rsidRDefault="00B63E89" w:rsidP="00AF3B54">
      <w:pPr>
        <w:spacing w:after="0" w:line="240" w:lineRule="auto"/>
      </w:pPr>
      <w:r>
        <w:separator/>
      </w:r>
    </w:p>
  </w:endnote>
  <w:endnote w:type="continuationSeparator" w:id="0">
    <w:p w:rsidR="00B63E89" w:rsidRDefault="00B63E89" w:rsidP="00AF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1D" w:rsidRDefault="00A3201D" w:rsidP="00AF3B54">
    <w:pPr>
      <w:pStyle w:val="Footer"/>
    </w:pPr>
    <w:r>
      <w:t>IM-INF-ASSAYS</w:t>
    </w:r>
    <w:r w:rsidR="0010530B">
      <w:t>02</w:t>
    </w:r>
    <w:r>
      <w:ptab w:relativeTo="margin" w:alignment="center" w:leader="none"/>
    </w:r>
    <w:r w:rsidR="0010530B">
      <w:t>May 2020</w:t>
    </w:r>
    <w:r>
      <w:ptab w:relativeTo="margin" w:alignment="right" w:leader="none"/>
    </w:r>
    <w:r>
      <w:t>Version: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89" w:rsidRDefault="00B63E89" w:rsidP="00AF3B54">
      <w:pPr>
        <w:spacing w:after="0" w:line="240" w:lineRule="auto"/>
      </w:pPr>
      <w:r>
        <w:separator/>
      </w:r>
    </w:p>
  </w:footnote>
  <w:footnote w:type="continuationSeparator" w:id="0">
    <w:p w:rsidR="00B63E89" w:rsidRDefault="00B63E89" w:rsidP="00AF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15"/>
    <w:multiLevelType w:val="hybridMultilevel"/>
    <w:tmpl w:val="B74C89DA"/>
    <w:lvl w:ilvl="0" w:tplc="E19E26BE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266"/>
    <w:multiLevelType w:val="hybridMultilevel"/>
    <w:tmpl w:val="BA8C08C2"/>
    <w:lvl w:ilvl="0" w:tplc="298A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4C"/>
    <w:rsid w:val="000940E4"/>
    <w:rsid w:val="00095682"/>
    <w:rsid w:val="000A729D"/>
    <w:rsid w:val="000D4B73"/>
    <w:rsid w:val="00104E9B"/>
    <w:rsid w:val="0010530B"/>
    <w:rsid w:val="00112017"/>
    <w:rsid w:val="00112838"/>
    <w:rsid w:val="001148E2"/>
    <w:rsid w:val="00146308"/>
    <w:rsid w:val="001531FC"/>
    <w:rsid w:val="00174A6A"/>
    <w:rsid w:val="001A399D"/>
    <w:rsid w:val="001D2060"/>
    <w:rsid w:val="00201671"/>
    <w:rsid w:val="00203945"/>
    <w:rsid w:val="00272C01"/>
    <w:rsid w:val="002D3A89"/>
    <w:rsid w:val="002E7146"/>
    <w:rsid w:val="002F4E94"/>
    <w:rsid w:val="00321217"/>
    <w:rsid w:val="00330F0A"/>
    <w:rsid w:val="00335ADC"/>
    <w:rsid w:val="00353B94"/>
    <w:rsid w:val="00395388"/>
    <w:rsid w:val="003B4563"/>
    <w:rsid w:val="003D1958"/>
    <w:rsid w:val="003D19FE"/>
    <w:rsid w:val="003D5229"/>
    <w:rsid w:val="003E74FA"/>
    <w:rsid w:val="004365AF"/>
    <w:rsid w:val="00461379"/>
    <w:rsid w:val="004674B2"/>
    <w:rsid w:val="004925FA"/>
    <w:rsid w:val="004A7FE9"/>
    <w:rsid w:val="004F0A96"/>
    <w:rsid w:val="00501047"/>
    <w:rsid w:val="005779CF"/>
    <w:rsid w:val="00590E91"/>
    <w:rsid w:val="005C4157"/>
    <w:rsid w:val="005F1C31"/>
    <w:rsid w:val="005F74EF"/>
    <w:rsid w:val="006155CE"/>
    <w:rsid w:val="00620EAA"/>
    <w:rsid w:val="00637BEB"/>
    <w:rsid w:val="006930C3"/>
    <w:rsid w:val="006A4A1F"/>
    <w:rsid w:val="006B51EB"/>
    <w:rsid w:val="006D2CB3"/>
    <w:rsid w:val="006F49D9"/>
    <w:rsid w:val="00701FA2"/>
    <w:rsid w:val="00710DF9"/>
    <w:rsid w:val="007363FA"/>
    <w:rsid w:val="00746FEC"/>
    <w:rsid w:val="00782C38"/>
    <w:rsid w:val="007833D7"/>
    <w:rsid w:val="00793857"/>
    <w:rsid w:val="007D5611"/>
    <w:rsid w:val="007E4563"/>
    <w:rsid w:val="0088298B"/>
    <w:rsid w:val="008A5D8E"/>
    <w:rsid w:val="008C0932"/>
    <w:rsid w:val="00904A66"/>
    <w:rsid w:val="009163ED"/>
    <w:rsid w:val="00965594"/>
    <w:rsid w:val="0097059B"/>
    <w:rsid w:val="009811AA"/>
    <w:rsid w:val="0098797C"/>
    <w:rsid w:val="00991F68"/>
    <w:rsid w:val="009B3FBE"/>
    <w:rsid w:val="009E667B"/>
    <w:rsid w:val="00A02424"/>
    <w:rsid w:val="00A275B3"/>
    <w:rsid w:val="00A3201D"/>
    <w:rsid w:val="00A348D8"/>
    <w:rsid w:val="00A92EC2"/>
    <w:rsid w:val="00A95DA5"/>
    <w:rsid w:val="00AB6CBD"/>
    <w:rsid w:val="00AD36AC"/>
    <w:rsid w:val="00AE50A9"/>
    <w:rsid w:val="00AF19A4"/>
    <w:rsid w:val="00AF3B54"/>
    <w:rsid w:val="00B126C0"/>
    <w:rsid w:val="00B63E89"/>
    <w:rsid w:val="00B74A28"/>
    <w:rsid w:val="00B849CB"/>
    <w:rsid w:val="00BE1418"/>
    <w:rsid w:val="00BE3865"/>
    <w:rsid w:val="00C02249"/>
    <w:rsid w:val="00C137A0"/>
    <w:rsid w:val="00C145C4"/>
    <w:rsid w:val="00C23E06"/>
    <w:rsid w:val="00C27B01"/>
    <w:rsid w:val="00C55896"/>
    <w:rsid w:val="00C57BB2"/>
    <w:rsid w:val="00C815E4"/>
    <w:rsid w:val="00CA7DD1"/>
    <w:rsid w:val="00CE41E1"/>
    <w:rsid w:val="00CF0EF3"/>
    <w:rsid w:val="00D30111"/>
    <w:rsid w:val="00D45543"/>
    <w:rsid w:val="00D47B7A"/>
    <w:rsid w:val="00D60148"/>
    <w:rsid w:val="00D8055E"/>
    <w:rsid w:val="00DA3C35"/>
    <w:rsid w:val="00DA3C50"/>
    <w:rsid w:val="00DD1586"/>
    <w:rsid w:val="00DE2406"/>
    <w:rsid w:val="00DE32BD"/>
    <w:rsid w:val="00DE68CF"/>
    <w:rsid w:val="00E07827"/>
    <w:rsid w:val="00E134E1"/>
    <w:rsid w:val="00E608D3"/>
    <w:rsid w:val="00E64E19"/>
    <w:rsid w:val="00E75699"/>
    <w:rsid w:val="00E9791B"/>
    <w:rsid w:val="00EA36C9"/>
    <w:rsid w:val="00EB7009"/>
    <w:rsid w:val="00EC3B42"/>
    <w:rsid w:val="00ED50D6"/>
    <w:rsid w:val="00EE141C"/>
    <w:rsid w:val="00F1294C"/>
    <w:rsid w:val="00F3163E"/>
    <w:rsid w:val="00F31727"/>
    <w:rsid w:val="00F711E9"/>
    <w:rsid w:val="00F92728"/>
    <w:rsid w:val="00FA4763"/>
    <w:rsid w:val="00FA6593"/>
    <w:rsid w:val="00FB23B8"/>
    <w:rsid w:val="00FC66F2"/>
    <w:rsid w:val="00FC7B8A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78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07827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54"/>
  </w:style>
  <w:style w:type="paragraph" w:styleId="Footer">
    <w:name w:val="footer"/>
    <w:basedOn w:val="Normal"/>
    <w:link w:val="Foot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1E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7827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07827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1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D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54"/>
  </w:style>
  <w:style w:type="paragraph" w:styleId="Footer">
    <w:name w:val="footer"/>
    <w:basedOn w:val="Normal"/>
    <w:link w:val="FooterChar"/>
    <w:uiPriority w:val="99"/>
    <w:unhideWhenUsed/>
    <w:rsid w:val="00AF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Adams@York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buxton@York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dsth-tr.immunologyclinicalenquiry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Claire - BMS</dc:creator>
  <cp:lastModifiedBy>rlovie</cp:lastModifiedBy>
  <cp:revision>2</cp:revision>
  <dcterms:created xsi:type="dcterms:W3CDTF">2020-05-28T10:32:00Z</dcterms:created>
  <dcterms:modified xsi:type="dcterms:W3CDTF">2020-05-28T10:32:00Z</dcterms:modified>
</cp:coreProperties>
</file>