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81" w:rsidRDefault="00404C81" w:rsidP="00DF2D9D">
      <w:pPr>
        <w:jc w:val="center"/>
        <w:rPr>
          <w:rFonts w:cs="Arial"/>
        </w:rPr>
      </w:pPr>
      <w:bookmarkStart w:id="0" w:name="_GoBack"/>
      <w:bookmarkEnd w:id="0"/>
    </w:p>
    <w:p w:rsidR="00363E9A" w:rsidRDefault="00363E9A" w:rsidP="00DF2D9D">
      <w:pPr>
        <w:jc w:val="center"/>
        <w:rPr>
          <w:rFonts w:cs="Arial"/>
        </w:rPr>
      </w:pPr>
    </w:p>
    <w:p w:rsidR="00363E9A" w:rsidRDefault="00363E9A" w:rsidP="00DF2D9D">
      <w:pPr>
        <w:jc w:val="center"/>
        <w:rPr>
          <w:rFonts w:cs="Arial"/>
        </w:rPr>
      </w:pPr>
    </w:p>
    <w:p w:rsidR="00363E9A" w:rsidRDefault="00363E9A" w:rsidP="00DF2D9D">
      <w:pPr>
        <w:jc w:val="center"/>
        <w:rPr>
          <w:rFonts w:cs="Arial"/>
        </w:rPr>
      </w:pPr>
    </w:p>
    <w:p w:rsidR="00363E9A" w:rsidRPr="009C4CEA" w:rsidRDefault="00363E9A" w:rsidP="00DF2D9D">
      <w:pPr>
        <w:jc w:val="center"/>
        <w:rPr>
          <w:rFonts w:cs="Arial"/>
        </w:rPr>
      </w:pPr>
    </w:p>
    <w:p w:rsidR="00C7143A" w:rsidRPr="00404C81" w:rsidRDefault="00EB36FC" w:rsidP="00C7143A">
      <w:pPr>
        <w:pStyle w:val="Title"/>
        <w:ind w:right="0"/>
        <w:rPr>
          <w:rFonts w:cs="Arial"/>
          <w:sz w:val="36"/>
        </w:rPr>
      </w:pPr>
      <w:r w:rsidRPr="00F20D27">
        <w:rPr>
          <w:rFonts w:cs="Arial"/>
          <w:sz w:val="36"/>
        </w:rPr>
        <w:t>Model Rules for Portering Staff Handling Specimens for Laboratory Medicine</w:t>
      </w:r>
    </w:p>
    <w:p w:rsidR="000D24AC" w:rsidRPr="00404C81" w:rsidRDefault="000D24AC" w:rsidP="00DF2D9D">
      <w:pPr>
        <w:jc w:val="center"/>
        <w:rPr>
          <w:rFonts w:cs="Arial"/>
        </w:rPr>
      </w:pPr>
    </w:p>
    <w:p w:rsidR="000D24AC" w:rsidRPr="00404C81" w:rsidRDefault="000D24AC" w:rsidP="00DF2D9D">
      <w:pPr>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5704"/>
      </w:tblGrid>
      <w:tr w:rsidR="000D24AC" w:rsidRPr="00404C81">
        <w:trPr>
          <w:trHeight w:val="737"/>
        </w:trPr>
        <w:tc>
          <w:tcPr>
            <w:tcW w:w="3287" w:type="dxa"/>
            <w:vAlign w:val="center"/>
          </w:tcPr>
          <w:p w:rsidR="000D24AC" w:rsidRPr="00404C81" w:rsidRDefault="009C0778" w:rsidP="00DF2D9D">
            <w:pPr>
              <w:pStyle w:val="Header"/>
              <w:jc w:val="both"/>
              <w:rPr>
                <w:rFonts w:cs="Arial"/>
                <w:sz w:val="24"/>
              </w:rPr>
            </w:pPr>
            <w:r>
              <w:rPr>
                <w:rFonts w:cs="Arial"/>
                <w:sz w:val="24"/>
              </w:rPr>
              <w:t>Document Author</w:t>
            </w:r>
          </w:p>
        </w:tc>
        <w:tc>
          <w:tcPr>
            <w:tcW w:w="5704" w:type="dxa"/>
            <w:vAlign w:val="center"/>
          </w:tcPr>
          <w:p w:rsidR="000D24AC" w:rsidRPr="00EB36FC" w:rsidRDefault="00EB36FC" w:rsidP="00FE3F49">
            <w:pPr>
              <w:pStyle w:val="Header"/>
              <w:jc w:val="both"/>
              <w:rPr>
                <w:rFonts w:cs="Arial"/>
                <w:sz w:val="24"/>
              </w:rPr>
            </w:pPr>
            <w:r>
              <w:rPr>
                <w:rFonts w:cs="Arial"/>
                <w:sz w:val="24"/>
                <w:szCs w:val="24"/>
              </w:rPr>
              <w:t>E. Fox &amp; R. Lovie</w:t>
            </w:r>
          </w:p>
        </w:tc>
      </w:tr>
      <w:tr w:rsidR="000D24AC" w:rsidRPr="00404C81">
        <w:trPr>
          <w:trHeight w:val="737"/>
        </w:trPr>
        <w:tc>
          <w:tcPr>
            <w:tcW w:w="3287" w:type="dxa"/>
            <w:vAlign w:val="center"/>
          </w:tcPr>
          <w:p w:rsidR="000D24AC" w:rsidRPr="00404C81" w:rsidRDefault="009C0778" w:rsidP="00DF2D9D">
            <w:pPr>
              <w:pStyle w:val="Header"/>
              <w:jc w:val="both"/>
              <w:rPr>
                <w:rFonts w:cs="Arial"/>
                <w:sz w:val="24"/>
              </w:rPr>
            </w:pPr>
            <w:r>
              <w:rPr>
                <w:rFonts w:cs="Arial"/>
                <w:sz w:val="24"/>
              </w:rPr>
              <w:t>Document Owner</w:t>
            </w:r>
          </w:p>
        </w:tc>
        <w:tc>
          <w:tcPr>
            <w:tcW w:w="5704" w:type="dxa"/>
            <w:vAlign w:val="center"/>
          </w:tcPr>
          <w:p w:rsidR="000D24AC" w:rsidRPr="009C0778" w:rsidRDefault="00EB36FC" w:rsidP="009C0778">
            <w:pPr>
              <w:pStyle w:val="Header"/>
              <w:jc w:val="both"/>
              <w:rPr>
                <w:rFonts w:cs="Arial"/>
                <w:sz w:val="24"/>
              </w:rPr>
            </w:pPr>
            <w:r>
              <w:rPr>
                <w:rFonts w:cs="Arial"/>
                <w:sz w:val="24"/>
              </w:rPr>
              <w:t>E. Fox</w:t>
            </w:r>
          </w:p>
        </w:tc>
      </w:tr>
      <w:tr w:rsidR="00C7143A" w:rsidRPr="00404C81">
        <w:trPr>
          <w:trHeight w:val="737"/>
        </w:trPr>
        <w:tc>
          <w:tcPr>
            <w:tcW w:w="3287" w:type="dxa"/>
            <w:vAlign w:val="center"/>
          </w:tcPr>
          <w:p w:rsidR="00C7143A" w:rsidRPr="00404C81" w:rsidRDefault="009C0778" w:rsidP="00DF2D9D">
            <w:pPr>
              <w:pStyle w:val="Header"/>
              <w:jc w:val="both"/>
              <w:rPr>
                <w:rFonts w:cs="Arial"/>
                <w:sz w:val="24"/>
              </w:rPr>
            </w:pPr>
            <w:r>
              <w:rPr>
                <w:rFonts w:cs="Arial"/>
                <w:sz w:val="24"/>
              </w:rPr>
              <w:t>Approved By</w:t>
            </w:r>
          </w:p>
        </w:tc>
        <w:tc>
          <w:tcPr>
            <w:tcW w:w="5704" w:type="dxa"/>
            <w:vAlign w:val="center"/>
          </w:tcPr>
          <w:p w:rsidR="00C7143A" w:rsidRPr="009C0778" w:rsidRDefault="00EB36FC" w:rsidP="009C0778">
            <w:pPr>
              <w:pStyle w:val="Header"/>
              <w:jc w:val="both"/>
              <w:rPr>
                <w:rFonts w:cs="Arial"/>
                <w:sz w:val="24"/>
              </w:rPr>
            </w:pPr>
            <w:r>
              <w:rPr>
                <w:rFonts w:cs="Arial"/>
                <w:sz w:val="24"/>
              </w:rPr>
              <w:t>E. Fox</w:t>
            </w:r>
          </w:p>
        </w:tc>
      </w:tr>
      <w:tr w:rsidR="00C7143A" w:rsidRPr="00404C81">
        <w:trPr>
          <w:trHeight w:val="737"/>
        </w:trPr>
        <w:tc>
          <w:tcPr>
            <w:tcW w:w="3287" w:type="dxa"/>
            <w:vAlign w:val="center"/>
          </w:tcPr>
          <w:p w:rsidR="00C7143A" w:rsidRDefault="00C7143A" w:rsidP="00C7143A">
            <w:pPr>
              <w:pStyle w:val="Header"/>
              <w:jc w:val="both"/>
              <w:rPr>
                <w:rFonts w:cs="Arial"/>
                <w:sz w:val="24"/>
              </w:rPr>
            </w:pPr>
            <w:r>
              <w:rPr>
                <w:rFonts w:cs="Arial"/>
                <w:sz w:val="24"/>
              </w:rPr>
              <w:t>Review Interval</w:t>
            </w:r>
          </w:p>
        </w:tc>
        <w:tc>
          <w:tcPr>
            <w:tcW w:w="5704" w:type="dxa"/>
            <w:vAlign w:val="center"/>
          </w:tcPr>
          <w:p w:rsidR="00C7143A" w:rsidRPr="009C0778" w:rsidRDefault="00EB36FC" w:rsidP="00C7143A">
            <w:pPr>
              <w:spacing w:after="0"/>
              <w:rPr>
                <w:rFonts w:cs="Arial"/>
                <w:sz w:val="24"/>
              </w:rPr>
            </w:pPr>
            <w:r>
              <w:rPr>
                <w:rFonts w:cs="Arial"/>
                <w:sz w:val="24"/>
              </w:rPr>
              <w:t>2 Years</w:t>
            </w:r>
          </w:p>
        </w:tc>
      </w:tr>
      <w:tr w:rsidR="00C7143A" w:rsidRPr="00404C81">
        <w:trPr>
          <w:trHeight w:val="737"/>
        </w:trPr>
        <w:tc>
          <w:tcPr>
            <w:tcW w:w="3287" w:type="dxa"/>
            <w:vAlign w:val="center"/>
          </w:tcPr>
          <w:p w:rsidR="00C7143A" w:rsidRPr="00404C81" w:rsidRDefault="00C7143A" w:rsidP="002C5007">
            <w:pPr>
              <w:pStyle w:val="Header"/>
              <w:jc w:val="both"/>
              <w:rPr>
                <w:rFonts w:cs="Arial"/>
                <w:sz w:val="24"/>
              </w:rPr>
            </w:pPr>
            <w:r w:rsidRPr="00404C81">
              <w:rPr>
                <w:rFonts w:cs="Arial"/>
                <w:sz w:val="24"/>
              </w:rPr>
              <w:t xml:space="preserve">Location of </w:t>
            </w:r>
            <w:r w:rsidR="002C5007">
              <w:rPr>
                <w:rFonts w:cs="Arial"/>
                <w:sz w:val="24"/>
              </w:rPr>
              <w:t>C</w:t>
            </w:r>
            <w:r w:rsidRPr="00404C81">
              <w:rPr>
                <w:rFonts w:cs="Arial"/>
                <w:sz w:val="24"/>
              </w:rPr>
              <w:t>opies</w:t>
            </w:r>
          </w:p>
        </w:tc>
        <w:tc>
          <w:tcPr>
            <w:tcW w:w="5704" w:type="dxa"/>
            <w:vAlign w:val="center"/>
          </w:tcPr>
          <w:p w:rsidR="00C7143A" w:rsidRPr="009C0778" w:rsidRDefault="00EB36FC" w:rsidP="002C5007">
            <w:pPr>
              <w:spacing w:after="0"/>
              <w:rPr>
                <w:rFonts w:cs="Arial"/>
                <w:sz w:val="24"/>
              </w:rPr>
            </w:pPr>
            <w:r>
              <w:rPr>
                <w:rFonts w:cs="Arial"/>
                <w:sz w:val="24"/>
              </w:rPr>
              <w:t xml:space="preserve">Electronic copy only available on Trust Staff Room site </w:t>
            </w:r>
            <w:hyperlink r:id="rId9" w:history="1">
              <w:r w:rsidRPr="00EA4C9A">
                <w:rPr>
                  <w:color w:val="0000FF"/>
                  <w:u w:val="single"/>
                  <w:lang w:val="en"/>
                </w:rPr>
                <w:t>Home</w:t>
              </w:r>
            </w:hyperlink>
            <w:r w:rsidRPr="00EA4C9A">
              <w:rPr>
                <w:lang w:val="en"/>
              </w:rPr>
              <w:t xml:space="preserve"> › </w:t>
            </w:r>
            <w:hyperlink r:id="rId10" w:history="1">
              <w:r w:rsidRPr="00EA4C9A">
                <w:rPr>
                  <w:color w:val="0000FF"/>
                  <w:u w:val="single"/>
                  <w:lang w:val="en"/>
                </w:rPr>
                <w:t>Policies and Procedures</w:t>
              </w:r>
            </w:hyperlink>
            <w:r w:rsidRPr="00EA4C9A">
              <w:rPr>
                <w:lang w:val="en"/>
              </w:rPr>
              <w:t xml:space="preserve"> › </w:t>
            </w:r>
            <w:hyperlink r:id="rId11" w:history="1">
              <w:r w:rsidRPr="00EA4C9A">
                <w:rPr>
                  <w:color w:val="0000FF"/>
                  <w:u w:val="single"/>
                  <w:lang w:val="en"/>
                </w:rPr>
                <w:t>Clinical Documents</w:t>
              </w:r>
            </w:hyperlink>
            <w:r w:rsidRPr="00EA4C9A">
              <w:rPr>
                <w:lang w:val="en"/>
              </w:rPr>
              <w:t xml:space="preserve"> › </w:t>
            </w:r>
            <w:hyperlink r:id="rId12" w:history="1">
              <w:r w:rsidRPr="00EA4C9A">
                <w:rPr>
                  <w:color w:val="0000FF"/>
                  <w:u w:val="single"/>
                  <w:lang w:val="en"/>
                </w:rPr>
                <w:t>Laboratory Medicine</w:t>
              </w:r>
            </w:hyperlink>
            <w:r>
              <w:rPr>
                <w:rFonts w:cs="Arial"/>
                <w:sz w:val="24"/>
              </w:rPr>
              <w:t>.</w:t>
            </w:r>
          </w:p>
        </w:tc>
      </w:tr>
    </w:tbl>
    <w:p w:rsidR="000D24AC" w:rsidRPr="00404C81" w:rsidRDefault="000D24AC" w:rsidP="00DF2D9D">
      <w:pPr>
        <w:rPr>
          <w:rFonts w:cs="Arial"/>
        </w:rPr>
      </w:pPr>
    </w:p>
    <w:p w:rsidR="000D24AC" w:rsidRPr="00404C81" w:rsidRDefault="00EB36FC" w:rsidP="00DF2D9D">
      <w:pPr>
        <w:rPr>
          <w:rFonts w:cs="Arial"/>
        </w:rPr>
      </w:pPr>
      <w:r>
        <w:rPr>
          <w:rFonts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-47625</wp:posOffset>
                </wp:positionH>
                <wp:positionV relativeFrom="paragraph">
                  <wp:posOffset>165100</wp:posOffset>
                </wp:positionV>
                <wp:extent cx="5715000" cy="15341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34160"/>
                        </a:xfrm>
                        <a:prstGeom prst="rect">
                          <a:avLst/>
                        </a:prstGeom>
                        <a:solidFill>
                          <a:srgbClr val="FFFFFF"/>
                        </a:solidFill>
                        <a:ln w="9525">
                          <a:solidFill>
                            <a:srgbClr val="000000"/>
                          </a:solidFill>
                          <a:miter lim="800000"/>
                          <a:headEnd/>
                          <a:tailEnd/>
                        </a:ln>
                      </wps:spPr>
                      <wps:txbx>
                        <w:txbxContent>
                          <w:p w:rsidR="00BA4840" w:rsidRDefault="00BA4840" w:rsidP="00DF5D9F">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rsidR="00E65ABD" w:rsidRDefault="00E65ABD" w:rsidP="00C7143A">
                            <w:pPr>
                              <w:rPr>
                                <w:rFonts w:cs="Arial"/>
                                <w:bCs/>
                                <w:sz w:val="24"/>
                                <w:szCs w:val="24"/>
                              </w:rPr>
                            </w:pPr>
                          </w:p>
                          <w:p w:rsidR="00BA4840" w:rsidRPr="00E65ABD" w:rsidRDefault="00EB36FC" w:rsidP="00DF5D9F">
                            <w:pPr>
                              <w:pStyle w:val="ListParagraph"/>
                              <w:numPr>
                                <w:ilvl w:val="0"/>
                                <w:numId w:val="13"/>
                              </w:numPr>
                              <w:rPr>
                                <w:rFonts w:cs="Arial"/>
                                <w:b/>
                                <w:bCs/>
                                <w:sz w:val="24"/>
                                <w:szCs w:val="24"/>
                                <w:u w:val="single"/>
                              </w:rPr>
                            </w:pPr>
                            <w:r w:rsidRPr="00E65ABD">
                              <w:rPr>
                                <w:rFonts w:cs="Arial"/>
                                <w:bCs/>
                                <w:sz w:val="24"/>
                                <w:szCs w:val="24"/>
                              </w:rPr>
                              <w:t>Document updated to include current care group terminology</w:t>
                            </w:r>
                          </w:p>
                          <w:p w:rsidR="00E65ABD" w:rsidRPr="00E65ABD" w:rsidRDefault="00E65ABD" w:rsidP="00DF5D9F">
                            <w:pPr>
                              <w:pStyle w:val="ListParagraph"/>
                              <w:numPr>
                                <w:ilvl w:val="0"/>
                                <w:numId w:val="13"/>
                              </w:numPr>
                              <w:rPr>
                                <w:rFonts w:cs="Arial"/>
                                <w:bCs/>
                                <w:sz w:val="24"/>
                                <w:szCs w:val="24"/>
                              </w:rPr>
                            </w:pPr>
                            <w:r w:rsidRPr="00E65ABD">
                              <w:rPr>
                                <w:rFonts w:cs="Arial"/>
                                <w:bCs/>
                                <w:sz w:val="24"/>
                                <w:szCs w:val="24"/>
                              </w:rPr>
                              <w:t>Page 6 adds a section for</w:t>
                            </w:r>
                            <w:r w:rsidRPr="00E65ABD">
                              <w:t xml:space="preserve"> </w:t>
                            </w:r>
                            <w:r>
                              <w:t>the t</w:t>
                            </w:r>
                            <w:r w:rsidRPr="00E65ABD">
                              <w:t>ransportation of samples for COVID-19 testing</w:t>
                            </w:r>
                            <w:r w:rsidR="00724B1F">
                              <w:t xml:space="preserve">, and </w:t>
                            </w:r>
                            <w:r w:rsidR="00724B1F" w:rsidRPr="00724B1F">
                              <w:rPr>
                                <w:rFonts w:cs="Arial"/>
                                <w:szCs w:val="22"/>
                              </w:rPr>
                              <w:t>Caring for COVID-19 Patients at Death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13pt;width:450pt;height:1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">
                <v:textbox>
                  <w:txbxContent>
                    <w:p w:rsidR="00BA4840" w:rsidRDefault="00BA4840" w:rsidP="00DF5D9F">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rsidR="00E65ABD" w:rsidRDefault="00E65ABD" w:rsidP="00C7143A">
                      <w:pPr>
                        <w:rPr>
                          <w:rFonts w:cs="Arial"/>
                          <w:bCs/>
                          <w:sz w:val="24"/>
                          <w:szCs w:val="24"/>
                        </w:rPr>
                      </w:pPr>
                    </w:p>
                    <w:p w:rsidR="00BA4840" w:rsidRPr="00E65ABD" w:rsidRDefault="00EB36FC" w:rsidP="00DF5D9F">
                      <w:pPr>
                        <w:pStyle w:val="ListParagraph"/>
                        <w:numPr>
                          <w:ilvl w:val="0"/>
                          <w:numId w:val="13"/>
                        </w:numPr>
                        <w:rPr>
                          <w:rFonts w:cs="Arial"/>
                          <w:b/>
                          <w:bCs/>
                          <w:sz w:val="24"/>
                          <w:szCs w:val="24"/>
                          <w:u w:val="single"/>
                        </w:rPr>
                      </w:pPr>
                      <w:r w:rsidRPr="00E65ABD">
                        <w:rPr>
                          <w:rFonts w:cs="Arial"/>
                          <w:bCs/>
                          <w:sz w:val="24"/>
                          <w:szCs w:val="24"/>
                        </w:rPr>
                        <w:t>Document updated to include current care group terminology</w:t>
                      </w:r>
                    </w:p>
                    <w:p w:rsidR="00E65ABD" w:rsidRPr="00E65ABD" w:rsidRDefault="00E65ABD" w:rsidP="00DF5D9F">
                      <w:pPr>
                        <w:pStyle w:val="ListParagraph"/>
                        <w:numPr>
                          <w:ilvl w:val="0"/>
                          <w:numId w:val="13"/>
                        </w:numPr>
                        <w:rPr>
                          <w:rFonts w:cs="Arial"/>
                          <w:bCs/>
                          <w:sz w:val="24"/>
                          <w:szCs w:val="24"/>
                        </w:rPr>
                      </w:pPr>
                      <w:r w:rsidRPr="00E65ABD">
                        <w:rPr>
                          <w:rFonts w:cs="Arial"/>
                          <w:bCs/>
                          <w:sz w:val="24"/>
                          <w:szCs w:val="24"/>
                        </w:rPr>
                        <w:t>Page 6 adds a section for</w:t>
                      </w:r>
                      <w:r w:rsidRPr="00E65ABD">
                        <w:t xml:space="preserve"> </w:t>
                      </w:r>
                      <w:r>
                        <w:t>the t</w:t>
                      </w:r>
                      <w:r w:rsidRPr="00E65ABD">
                        <w:t>ransportation of samples for COVID-19 testing</w:t>
                      </w:r>
                      <w:r w:rsidR="00724B1F">
                        <w:t xml:space="preserve">, and </w:t>
                      </w:r>
                      <w:r w:rsidR="00724B1F" w:rsidRPr="00724B1F">
                        <w:rPr>
                          <w:rFonts w:cs="Arial"/>
                          <w:szCs w:val="22"/>
                        </w:rPr>
                        <w:t>Caring for COVID-19 Patients at Death</w:t>
                      </w:r>
                      <w:bookmarkStart w:id="1" w:name="_GoBack"/>
                      <w:bookmarkEnd w:id="1"/>
                    </w:p>
                  </w:txbxContent>
                </v:textbox>
              </v:shape>
            </w:pict>
          </mc:Fallback>
        </mc:AlternateContent>
      </w:r>
    </w:p>
    <w:p w:rsidR="000D24AC" w:rsidRPr="00404C81" w:rsidRDefault="000D24AC" w:rsidP="00DF2D9D">
      <w:pPr>
        <w:rPr>
          <w:rFonts w:cs="Arial"/>
        </w:rPr>
      </w:pPr>
    </w:p>
    <w:p w:rsidR="000D24AC" w:rsidRPr="00404C81" w:rsidRDefault="000D24AC" w:rsidP="00DF2D9D">
      <w:pPr>
        <w:rPr>
          <w:rFonts w:cs="Arial"/>
        </w:rPr>
      </w:pPr>
    </w:p>
    <w:p w:rsidR="000D24AC" w:rsidRPr="00404C81" w:rsidRDefault="000D24AC" w:rsidP="00DF2D9D">
      <w:pPr>
        <w:rPr>
          <w:rFonts w:cs="Arial"/>
        </w:rPr>
      </w:pPr>
    </w:p>
    <w:p w:rsidR="000D24AC" w:rsidRPr="00404C81" w:rsidRDefault="000D24AC" w:rsidP="00DF2D9D">
      <w:pPr>
        <w:rPr>
          <w:rFonts w:cs="Arial"/>
        </w:rPr>
      </w:pPr>
    </w:p>
    <w:p w:rsidR="000D24AC" w:rsidRPr="00404C81" w:rsidRDefault="000D24AC" w:rsidP="00DF2D9D">
      <w:pPr>
        <w:rPr>
          <w:rFonts w:cs="Arial"/>
        </w:rPr>
      </w:pPr>
    </w:p>
    <w:p w:rsidR="000E777E" w:rsidRDefault="00F10D2E" w:rsidP="00DF2D9D">
      <w:pPr>
        <w:rPr>
          <w:rFonts w:cs="Arial"/>
        </w:rPr>
      </w:pPr>
      <w:r>
        <w:rPr>
          <w:rFonts w:cs="Arial"/>
        </w:rPr>
        <w:br w:type="page"/>
      </w:r>
    </w:p>
    <w:p w:rsidR="000D24AC" w:rsidRPr="00F10D2E" w:rsidRDefault="00F10D2E" w:rsidP="00DF2D9D">
      <w:pPr>
        <w:rPr>
          <w:rFonts w:cs="Arial"/>
          <w:b/>
        </w:rPr>
      </w:pPr>
      <w:r w:rsidRPr="00F10D2E">
        <w:rPr>
          <w:rFonts w:cs="Arial"/>
          <w:b/>
        </w:rPr>
        <w:lastRenderedPageBreak/>
        <w:t>Contents:</w:t>
      </w:r>
    </w:p>
    <w:p w:rsidR="00EB36FC" w:rsidRDefault="00B550D2">
      <w:pPr>
        <w:pStyle w:val="TOC1"/>
        <w:tabs>
          <w:tab w:val="left" w:pos="440"/>
          <w:tab w:val="right" w:leader="dot" w:pos="9628"/>
        </w:tabs>
        <w:rPr>
          <w:rFonts w:asciiTheme="minorHAnsi" w:eastAsiaTheme="minorEastAsia" w:hAnsiTheme="minorHAnsi" w:cstheme="minorBidi"/>
          <w:b w:val="0"/>
          <w:bCs w:val="0"/>
          <w:noProof/>
          <w:szCs w:val="22"/>
          <w:lang w:eastAsia="en-GB"/>
        </w:rPr>
      </w:pPr>
      <w:r>
        <w:rPr>
          <w:rFonts w:cs="Arial"/>
        </w:rPr>
        <w:fldChar w:fldCharType="begin"/>
      </w:r>
      <w:r>
        <w:rPr>
          <w:rFonts w:cs="Arial"/>
        </w:rPr>
        <w:instrText xml:space="preserve"> TOC \o "1-1" \h \z \u </w:instrText>
      </w:r>
      <w:r>
        <w:rPr>
          <w:rFonts w:cs="Arial"/>
        </w:rPr>
        <w:fldChar w:fldCharType="separate"/>
      </w:r>
      <w:hyperlink w:anchor="_Toc60992895" w:history="1">
        <w:r w:rsidR="00EB36FC" w:rsidRPr="005D67C7">
          <w:rPr>
            <w:rStyle w:val="Hyperlink"/>
            <w:noProof/>
          </w:rPr>
          <w:t>1</w:t>
        </w:r>
        <w:r w:rsidR="00EB36FC">
          <w:rPr>
            <w:rFonts w:asciiTheme="minorHAnsi" w:eastAsiaTheme="minorEastAsia" w:hAnsiTheme="minorHAnsi" w:cstheme="minorBidi"/>
            <w:b w:val="0"/>
            <w:bCs w:val="0"/>
            <w:noProof/>
            <w:szCs w:val="22"/>
            <w:lang w:eastAsia="en-GB"/>
          </w:rPr>
          <w:tab/>
        </w:r>
        <w:r w:rsidR="00EB36FC" w:rsidRPr="005D67C7">
          <w:rPr>
            <w:rStyle w:val="Hyperlink"/>
            <w:noProof/>
          </w:rPr>
          <w:t>Purpose and Scope</w:t>
        </w:r>
        <w:r w:rsidR="00EB36FC">
          <w:rPr>
            <w:noProof/>
            <w:webHidden/>
          </w:rPr>
          <w:tab/>
        </w:r>
        <w:r w:rsidR="00EB36FC">
          <w:rPr>
            <w:noProof/>
            <w:webHidden/>
          </w:rPr>
          <w:fldChar w:fldCharType="begin"/>
        </w:r>
        <w:r w:rsidR="00EB36FC">
          <w:rPr>
            <w:noProof/>
            <w:webHidden/>
          </w:rPr>
          <w:instrText xml:space="preserve"> PAGEREF _Toc60992895 \h </w:instrText>
        </w:r>
        <w:r w:rsidR="00EB36FC">
          <w:rPr>
            <w:noProof/>
            <w:webHidden/>
          </w:rPr>
        </w:r>
        <w:r w:rsidR="00EB36FC">
          <w:rPr>
            <w:noProof/>
            <w:webHidden/>
          </w:rPr>
          <w:fldChar w:fldCharType="separate"/>
        </w:r>
        <w:r w:rsidR="00AE09D5">
          <w:rPr>
            <w:noProof/>
            <w:webHidden/>
          </w:rPr>
          <w:t>3</w:t>
        </w:r>
        <w:r w:rsidR="00EB36FC">
          <w:rPr>
            <w:noProof/>
            <w:webHidden/>
          </w:rPr>
          <w:fldChar w:fldCharType="end"/>
        </w:r>
      </w:hyperlink>
    </w:p>
    <w:p w:rsidR="00EB36FC" w:rsidRDefault="00E93485">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60992896" w:history="1">
        <w:r w:rsidR="00EB36FC" w:rsidRPr="005D67C7">
          <w:rPr>
            <w:rStyle w:val="Hyperlink"/>
            <w:noProof/>
          </w:rPr>
          <w:t>2</w:t>
        </w:r>
        <w:r w:rsidR="00EB36FC">
          <w:rPr>
            <w:rFonts w:asciiTheme="minorHAnsi" w:eastAsiaTheme="minorEastAsia" w:hAnsiTheme="minorHAnsi" w:cstheme="minorBidi"/>
            <w:b w:val="0"/>
            <w:bCs w:val="0"/>
            <w:noProof/>
            <w:szCs w:val="22"/>
            <w:lang w:eastAsia="en-GB"/>
          </w:rPr>
          <w:tab/>
        </w:r>
        <w:r w:rsidR="00EB36FC" w:rsidRPr="005D67C7">
          <w:rPr>
            <w:rStyle w:val="Hyperlink"/>
            <w:noProof/>
          </w:rPr>
          <w:t>References</w:t>
        </w:r>
        <w:r w:rsidR="00EB36FC">
          <w:rPr>
            <w:noProof/>
            <w:webHidden/>
          </w:rPr>
          <w:tab/>
        </w:r>
        <w:r w:rsidR="00EB36FC">
          <w:rPr>
            <w:noProof/>
            <w:webHidden/>
          </w:rPr>
          <w:fldChar w:fldCharType="begin"/>
        </w:r>
        <w:r w:rsidR="00EB36FC">
          <w:rPr>
            <w:noProof/>
            <w:webHidden/>
          </w:rPr>
          <w:instrText xml:space="preserve"> PAGEREF _Toc60992896 \h </w:instrText>
        </w:r>
        <w:r w:rsidR="00EB36FC">
          <w:rPr>
            <w:noProof/>
            <w:webHidden/>
          </w:rPr>
        </w:r>
        <w:r w:rsidR="00EB36FC">
          <w:rPr>
            <w:noProof/>
            <w:webHidden/>
          </w:rPr>
          <w:fldChar w:fldCharType="separate"/>
        </w:r>
        <w:r w:rsidR="00AE09D5">
          <w:rPr>
            <w:noProof/>
            <w:webHidden/>
          </w:rPr>
          <w:t>3</w:t>
        </w:r>
        <w:r w:rsidR="00EB36FC">
          <w:rPr>
            <w:noProof/>
            <w:webHidden/>
          </w:rPr>
          <w:fldChar w:fldCharType="end"/>
        </w:r>
      </w:hyperlink>
    </w:p>
    <w:p w:rsidR="00EB36FC" w:rsidRDefault="00E93485">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60992897" w:history="1">
        <w:r w:rsidR="00EB36FC" w:rsidRPr="005D67C7">
          <w:rPr>
            <w:rStyle w:val="Hyperlink"/>
            <w:noProof/>
          </w:rPr>
          <w:t>3</w:t>
        </w:r>
        <w:r w:rsidR="00EB36FC">
          <w:rPr>
            <w:rFonts w:asciiTheme="minorHAnsi" w:eastAsiaTheme="minorEastAsia" w:hAnsiTheme="minorHAnsi" w:cstheme="minorBidi"/>
            <w:b w:val="0"/>
            <w:bCs w:val="0"/>
            <w:noProof/>
            <w:szCs w:val="22"/>
            <w:lang w:eastAsia="en-GB"/>
          </w:rPr>
          <w:tab/>
        </w:r>
        <w:r w:rsidR="00EB36FC" w:rsidRPr="005D67C7">
          <w:rPr>
            <w:rStyle w:val="Hyperlink"/>
            <w:noProof/>
          </w:rPr>
          <w:t>Responsibilities</w:t>
        </w:r>
        <w:r w:rsidR="00EB36FC">
          <w:rPr>
            <w:noProof/>
            <w:webHidden/>
          </w:rPr>
          <w:tab/>
        </w:r>
        <w:r w:rsidR="00EB36FC">
          <w:rPr>
            <w:noProof/>
            <w:webHidden/>
          </w:rPr>
          <w:fldChar w:fldCharType="begin"/>
        </w:r>
        <w:r w:rsidR="00EB36FC">
          <w:rPr>
            <w:noProof/>
            <w:webHidden/>
          </w:rPr>
          <w:instrText xml:space="preserve"> PAGEREF _Toc60992897 \h </w:instrText>
        </w:r>
        <w:r w:rsidR="00EB36FC">
          <w:rPr>
            <w:noProof/>
            <w:webHidden/>
          </w:rPr>
        </w:r>
        <w:r w:rsidR="00EB36FC">
          <w:rPr>
            <w:noProof/>
            <w:webHidden/>
          </w:rPr>
          <w:fldChar w:fldCharType="separate"/>
        </w:r>
        <w:r w:rsidR="00AE09D5">
          <w:rPr>
            <w:noProof/>
            <w:webHidden/>
          </w:rPr>
          <w:t>3</w:t>
        </w:r>
        <w:r w:rsidR="00EB36FC">
          <w:rPr>
            <w:noProof/>
            <w:webHidden/>
          </w:rPr>
          <w:fldChar w:fldCharType="end"/>
        </w:r>
      </w:hyperlink>
    </w:p>
    <w:p w:rsidR="00EB36FC" w:rsidRDefault="00E93485">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60992898" w:history="1">
        <w:r w:rsidR="00EB36FC" w:rsidRPr="005D67C7">
          <w:rPr>
            <w:rStyle w:val="Hyperlink"/>
            <w:noProof/>
          </w:rPr>
          <w:t>4</w:t>
        </w:r>
        <w:r w:rsidR="00EB36FC">
          <w:rPr>
            <w:rFonts w:asciiTheme="minorHAnsi" w:eastAsiaTheme="minorEastAsia" w:hAnsiTheme="minorHAnsi" w:cstheme="minorBidi"/>
            <w:b w:val="0"/>
            <w:bCs w:val="0"/>
            <w:noProof/>
            <w:szCs w:val="22"/>
            <w:lang w:eastAsia="en-GB"/>
          </w:rPr>
          <w:tab/>
        </w:r>
        <w:r w:rsidR="00EB36FC" w:rsidRPr="005D67C7">
          <w:rPr>
            <w:rStyle w:val="Hyperlink"/>
            <w:noProof/>
          </w:rPr>
          <w:t>Training</w:t>
        </w:r>
        <w:r w:rsidR="00EB36FC">
          <w:rPr>
            <w:noProof/>
            <w:webHidden/>
          </w:rPr>
          <w:tab/>
        </w:r>
        <w:r w:rsidR="00EB36FC">
          <w:rPr>
            <w:noProof/>
            <w:webHidden/>
          </w:rPr>
          <w:fldChar w:fldCharType="begin"/>
        </w:r>
        <w:r w:rsidR="00EB36FC">
          <w:rPr>
            <w:noProof/>
            <w:webHidden/>
          </w:rPr>
          <w:instrText xml:space="preserve"> PAGEREF _Toc60992898 \h </w:instrText>
        </w:r>
        <w:r w:rsidR="00EB36FC">
          <w:rPr>
            <w:noProof/>
            <w:webHidden/>
          </w:rPr>
        </w:r>
        <w:r w:rsidR="00EB36FC">
          <w:rPr>
            <w:noProof/>
            <w:webHidden/>
          </w:rPr>
          <w:fldChar w:fldCharType="separate"/>
        </w:r>
        <w:r w:rsidR="00AE09D5">
          <w:rPr>
            <w:noProof/>
            <w:webHidden/>
          </w:rPr>
          <w:t>3</w:t>
        </w:r>
        <w:r w:rsidR="00EB36FC">
          <w:rPr>
            <w:noProof/>
            <w:webHidden/>
          </w:rPr>
          <w:fldChar w:fldCharType="end"/>
        </w:r>
      </w:hyperlink>
    </w:p>
    <w:p w:rsidR="00EB36FC" w:rsidRDefault="00E93485">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60992899" w:history="1">
        <w:r w:rsidR="00EB36FC" w:rsidRPr="005D67C7">
          <w:rPr>
            <w:rStyle w:val="Hyperlink"/>
            <w:noProof/>
          </w:rPr>
          <w:t>5</w:t>
        </w:r>
        <w:r w:rsidR="00EB36FC">
          <w:rPr>
            <w:rFonts w:asciiTheme="minorHAnsi" w:eastAsiaTheme="minorEastAsia" w:hAnsiTheme="minorHAnsi" w:cstheme="minorBidi"/>
            <w:b w:val="0"/>
            <w:bCs w:val="0"/>
            <w:noProof/>
            <w:szCs w:val="22"/>
            <w:lang w:eastAsia="en-GB"/>
          </w:rPr>
          <w:tab/>
        </w:r>
        <w:r w:rsidR="00EB36FC" w:rsidRPr="005D67C7">
          <w:rPr>
            <w:rStyle w:val="Hyperlink"/>
            <w:noProof/>
          </w:rPr>
          <w:t>Publication and Distribution</w:t>
        </w:r>
        <w:r w:rsidR="00EB36FC">
          <w:rPr>
            <w:noProof/>
            <w:webHidden/>
          </w:rPr>
          <w:tab/>
        </w:r>
        <w:r w:rsidR="00EB36FC">
          <w:rPr>
            <w:noProof/>
            <w:webHidden/>
          </w:rPr>
          <w:fldChar w:fldCharType="begin"/>
        </w:r>
        <w:r w:rsidR="00EB36FC">
          <w:rPr>
            <w:noProof/>
            <w:webHidden/>
          </w:rPr>
          <w:instrText xml:space="preserve"> PAGEREF _Toc60992899 \h </w:instrText>
        </w:r>
        <w:r w:rsidR="00EB36FC">
          <w:rPr>
            <w:noProof/>
            <w:webHidden/>
          </w:rPr>
        </w:r>
        <w:r w:rsidR="00EB36FC">
          <w:rPr>
            <w:noProof/>
            <w:webHidden/>
          </w:rPr>
          <w:fldChar w:fldCharType="separate"/>
        </w:r>
        <w:r w:rsidR="00AE09D5">
          <w:rPr>
            <w:noProof/>
            <w:webHidden/>
          </w:rPr>
          <w:t>3</w:t>
        </w:r>
        <w:r w:rsidR="00EB36FC">
          <w:rPr>
            <w:noProof/>
            <w:webHidden/>
          </w:rPr>
          <w:fldChar w:fldCharType="end"/>
        </w:r>
      </w:hyperlink>
    </w:p>
    <w:p w:rsidR="00EB36FC" w:rsidRDefault="00E93485">
      <w:pPr>
        <w:pStyle w:val="TOC1"/>
        <w:tabs>
          <w:tab w:val="left" w:pos="440"/>
          <w:tab w:val="right" w:leader="dot" w:pos="9628"/>
        </w:tabs>
        <w:rPr>
          <w:rFonts w:asciiTheme="minorHAnsi" w:eastAsiaTheme="minorEastAsia" w:hAnsiTheme="minorHAnsi" w:cstheme="minorBidi"/>
          <w:b w:val="0"/>
          <w:bCs w:val="0"/>
          <w:noProof/>
          <w:szCs w:val="22"/>
          <w:lang w:eastAsia="en-GB"/>
        </w:rPr>
      </w:pPr>
      <w:hyperlink w:anchor="_Toc60992900" w:history="1">
        <w:r w:rsidR="00EB36FC" w:rsidRPr="005D67C7">
          <w:rPr>
            <w:rStyle w:val="Hyperlink"/>
            <w:noProof/>
          </w:rPr>
          <w:t>6</w:t>
        </w:r>
        <w:r w:rsidR="00EB36FC">
          <w:rPr>
            <w:rFonts w:asciiTheme="minorHAnsi" w:eastAsiaTheme="minorEastAsia" w:hAnsiTheme="minorHAnsi" w:cstheme="minorBidi"/>
            <w:b w:val="0"/>
            <w:bCs w:val="0"/>
            <w:noProof/>
            <w:szCs w:val="22"/>
            <w:lang w:eastAsia="en-GB"/>
          </w:rPr>
          <w:tab/>
        </w:r>
        <w:r w:rsidR="00EB36FC" w:rsidRPr="005D67C7">
          <w:rPr>
            <w:rStyle w:val="Hyperlink"/>
            <w:noProof/>
          </w:rPr>
          <w:t>Policy</w:t>
        </w:r>
        <w:r w:rsidR="00EB36FC">
          <w:rPr>
            <w:noProof/>
            <w:webHidden/>
          </w:rPr>
          <w:tab/>
        </w:r>
        <w:r w:rsidR="00EB36FC">
          <w:rPr>
            <w:noProof/>
            <w:webHidden/>
          </w:rPr>
          <w:fldChar w:fldCharType="begin"/>
        </w:r>
        <w:r w:rsidR="00EB36FC">
          <w:rPr>
            <w:noProof/>
            <w:webHidden/>
          </w:rPr>
          <w:instrText xml:space="preserve"> PAGEREF _Toc60992900 \h </w:instrText>
        </w:r>
        <w:r w:rsidR="00EB36FC">
          <w:rPr>
            <w:noProof/>
            <w:webHidden/>
          </w:rPr>
        </w:r>
        <w:r w:rsidR="00EB36FC">
          <w:rPr>
            <w:noProof/>
            <w:webHidden/>
          </w:rPr>
          <w:fldChar w:fldCharType="separate"/>
        </w:r>
        <w:r w:rsidR="00AE09D5">
          <w:rPr>
            <w:noProof/>
            <w:webHidden/>
          </w:rPr>
          <w:t>4</w:t>
        </w:r>
        <w:r w:rsidR="00EB36FC">
          <w:rPr>
            <w:noProof/>
            <w:webHidden/>
          </w:rPr>
          <w:fldChar w:fldCharType="end"/>
        </w:r>
      </w:hyperlink>
    </w:p>
    <w:p w:rsidR="00F10D2E" w:rsidRPr="006C531D" w:rsidRDefault="00B550D2" w:rsidP="00F9747B">
      <w:pPr>
        <w:spacing w:before="120"/>
        <w:rPr>
          <w:rFonts w:cs="Arial"/>
        </w:rPr>
        <w:sectPr w:rsidR="00F10D2E" w:rsidRPr="006C531D" w:rsidSect="002E17FD">
          <w:headerReference w:type="default" r:id="rId13"/>
          <w:pgSz w:w="11906" w:h="16838" w:code="9"/>
          <w:pgMar w:top="1191" w:right="1134" w:bottom="1191" w:left="1134" w:header="397" w:footer="720" w:gutter="0"/>
          <w:paperSrc w:first="15" w:other="15"/>
          <w:cols w:space="720"/>
          <w:docGrid w:linePitch="299"/>
        </w:sectPr>
      </w:pPr>
      <w:r>
        <w:fldChar w:fldCharType="end"/>
      </w:r>
    </w:p>
    <w:p w:rsidR="006C531D" w:rsidRDefault="006C531D" w:rsidP="009A3A58">
      <w:bookmarkStart w:id="1" w:name="_Toc213598297"/>
      <w:bookmarkStart w:id="2" w:name="_Toc213598523"/>
    </w:p>
    <w:p w:rsidR="009A3A58" w:rsidRPr="009A3A58" w:rsidRDefault="009A3A58" w:rsidP="009A3A58"/>
    <w:p w:rsidR="009A3A58" w:rsidRPr="009A3A58" w:rsidRDefault="009A3A58" w:rsidP="009A3A58"/>
    <w:p w:rsidR="009A3A58" w:rsidRPr="009A3A58" w:rsidRDefault="009A3A58" w:rsidP="009A3A58"/>
    <w:p w:rsidR="009A3A58" w:rsidRPr="009A3A58" w:rsidRDefault="009A3A58" w:rsidP="009A3A58"/>
    <w:p w:rsidR="009A3A58" w:rsidRPr="009A3A58" w:rsidRDefault="009A3A58" w:rsidP="009A3A58"/>
    <w:p w:rsidR="009A3A58" w:rsidRDefault="009A3A58" w:rsidP="009A3A58"/>
    <w:p w:rsidR="00970896" w:rsidRDefault="00970896" w:rsidP="009A3A58"/>
    <w:p w:rsidR="00970896" w:rsidRDefault="00970896" w:rsidP="009A3A58"/>
    <w:p w:rsidR="00970896" w:rsidRDefault="00970896" w:rsidP="009A3A58"/>
    <w:p w:rsidR="00970896" w:rsidRDefault="00970896" w:rsidP="009A3A58"/>
    <w:p w:rsidR="00970896" w:rsidRDefault="00970896" w:rsidP="009A3A58"/>
    <w:p w:rsidR="00970896" w:rsidRDefault="00970896" w:rsidP="009A3A58"/>
    <w:p w:rsidR="00970896" w:rsidRDefault="00970896" w:rsidP="009A3A58"/>
    <w:p w:rsidR="00970896" w:rsidRDefault="00970896" w:rsidP="009A3A58"/>
    <w:p w:rsidR="00970896" w:rsidRDefault="00970896" w:rsidP="009A3A58"/>
    <w:p w:rsidR="00970896" w:rsidRDefault="00970896" w:rsidP="009A3A58"/>
    <w:p w:rsidR="00970896" w:rsidRDefault="00970896" w:rsidP="009A3A58"/>
    <w:p w:rsidR="00970896" w:rsidRDefault="00970896" w:rsidP="009A3A58"/>
    <w:p w:rsidR="00970896" w:rsidRDefault="00970896" w:rsidP="009A3A58"/>
    <w:p w:rsidR="00970896" w:rsidRDefault="00970896" w:rsidP="009A3A58"/>
    <w:p w:rsidR="00970896" w:rsidRPr="009A3A58" w:rsidRDefault="00970896" w:rsidP="009A3A58"/>
    <w:p w:rsidR="009A3A58" w:rsidRPr="009A3A58" w:rsidRDefault="009A3A58" w:rsidP="009A3A58"/>
    <w:p w:rsidR="00EB36FC" w:rsidRDefault="00EB36FC" w:rsidP="00EB36FC">
      <w:pPr>
        <w:pStyle w:val="Heading1"/>
      </w:pPr>
      <w:bookmarkStart w:id="3" w:name="_Toc534727455"/>
      <w:bookmarkStart w:id="4" w:name="_Toc60992895"/>
      <w:bookmarkEnd w:id="1"/>
      <w:bookmarkEnd w:id="2"/>
      <w:r>
        <w:lastRenderedPageBreak/>
        <w:t>Purpose and Scope</w:t>
      </w:r>
      <w:bookmarkEnd w:id="3"/>
      <w:bookmarkEnd w:id="4"/>
    </w:p>
    <w:p w:rsidR="00EB36FC" w:rsidRDefault="00EB36FC" w:rsidP="00EB36FC">
      <w:pPr>
        <w:rPr>
          <w:lang w:val="en-US"/>
        </w:rPr>
      </w:pPr>
      <w:r>
        <w:rPr>
          <w:lang w:val="en-US"/>
        </w:rPr>
        <w:t>The policy documents the range of services the portering staff provide on both the hospital sites for the Laboratory Medicine to ensure both patient safety by preserving the integrity of samples and the occupational Health and Safety of the personnel involved in transportation and reception of specimens and members of the general public.</w:t>
      </w:r>
    </w:p>
    <w:p w:rsidR="00EB36FC" w:rsidRPr="004320F4" w:rsidRDefault="00EB36FC" w:rsidP="00EB36FC">
      <w:pPr>
        <w:rPr>
          <w:lang w:val="en-US"/>
        </w:rPr>
      </w:pPr>
      <w:r>
        <w:rPr>
          <w:lang w:val="en-US"/>
        </w:rPr>
        <w:t xml:space="preserve">These model rules aim to draw attention to specific safety guidelines for this specific staff group and forms the basis for training given to staff.  </w:t>
      </w:r>
    </w:p>
    <w:p w:rsidR="00EB36FC" w:rsidRDefault="00EB36FC" w:rsidP="00EB36FC">
      <w:pPr>
        <w:pStyle w:val="Heading1"/>
      </w:pPr>
      <w:bookmarkStart w:id="5" w:name="_Toc534727456"/>
      <w:bookmarkStart w:id="6" w:name="_Toc60992896"/>
      <w:r>
        <w:t>References</w:t>
      </w:r>
      <w:bookmarkEnd w:id="5"/>
      <w:bookmarkEnd w:id="6"/>
    </w:p>
    <w:p w:rsidR="00EB36FC" w:rsidRDefault="00EB36FC" w:rsidP="00EB36FC">
      <w:pPr>
        <w:rPr>
          <w:lang w:val="en-US"/>
        </w:rPr>
      </w:pPr>
      <w:r>
        <w:rPr>
          <w:lang w:val="en-US"/>
        </w:rPr>
        <w:t xml:space="preserve">Laboratory Medicine Procedure: </w:t>
      </w:r>
      <w:r w:rsidRPr="00F668B5">
        <w:rPr>
          <w:lang w:val="en-US"/>
        </w:rPr>
        <w:t>Transportation &amp; Posting of Specimens</w:t>
      </w:r>
      <w:r w:rsidR="00385C6B">
        <w:rPr>
          <w:lang w:val="en-US"/>
        </w:rPr>
        <w:t>:</w:t>
      </w:r>
      <w:r>
        <w:rPr>
          <w:lang w:val="en-US"/>
        </w:rPr>
        <w:t xml:space="preserve"> LM-SOP-TRANSPORT</w:t>
      </w:r>
    </w:p>
    <w:p w:rsidR="00EB36FC" w:rsidRPr="00B052E9" w:rsidRDefault="00EB36FC" w:rsidP="00EB36FC">
      <w:pPr>
        <w:rPr>
          <w:rFonts w:cs="Arial"/>
          <w:b/>
          <w:szCs w:val="24"/>
        </w:rPr>
      </w:pPr>
      <w:r w:rsidRPr="00B052E9">
        <w:rPr>
          <w:rFonts w:cs="Arial"/>
          <w:b/>
          <w:szCs w:val="24"/>
        </w:rPr>
        <w:t>Medical Laboratories - Requirements for Quality and Competence (ISO 15189:2012)</w:t>
      </w:r>
    </w:p>
    <w:p w:rsidR="00EB36FC" w:rsidRPr="00B052E9" w:rsidRDefault="00EB36FC" w:rsidP="00EB36FC">
      <w:pPr>
        <w:rPr>
          <w:rFonts w:cs="Arial"/>
          <w:szCs w:val="24"/>
        </w:rPr>
      </w:pPr>
      <w:r w:rsidRPr="00B052E9">
        <w:rPr>
          <w:rFonts w:cs="Arial"/>
          <w:szCs w:val="24"/>
        </w:rPr>
        <w:t>BS EN ISO 15189:2012 has been purchased under a restricted licence and must not be printed out, the Quality Manager and Head Biomedical Scientists each have a licensed copy.</w:t>
      </w:r>
    </w:p>
    <w:p w:rsidR="00EB36FC" w:rsidRPr="00B052E9" w:rsidRDefault="00EB36FC" w:rsidP="00EB36FC">
      <w:pPr>
        <w:rPr>
          <w:rFonts w:cs="Arial"/>
          <w:szCs w:val="24"/>
        </w:rPr>
      </w:pPr>
      <w:r w:rsidRPr="00B052E9">
        <w:rPr>
          <w:rFonts w:cs="Arial"/>
          <w:szCs w:val="24"/>
        </w:rPr>
        <w:t xml:space="preserve">Applicable clauses and sub-clauses within the standard: </w:t>
      </w:r>
    </w:p>
    <w:p w:rsidR="00EB36FC" w:rsidRDefault="00EB36FC" w:rsidP="00EB36FC">
      <w:pPr>
        <w:rPr>
          <w:rFonts w:cs="Arial"/>
          <w:szCs w:val="24"/>
        </w:rPr>
      </w:pPr>
      <w:r w:rsidRPr="00B052E9">
        <w:rPr>
          <w:rFonts w:cs="Arial"/>
          <w:szCs w:val="24"/>
        </w:rPr>
        <w:t>ISO 15189: 2012</w:t>
      </w:r>
      <w:r>
        <w:rPr>
          <w:rFonts w:cs="Arial"/>
          <w:szCs w:val="24"/>
        </w:rPr>
        <w:t>; 5.4.5 Sample Transportation</w:t>
      </w:r>
    </w:p>
    <w:p w:rsidR="00385C6B" w:rsidRDefault="00385C6B" w:rsidP="00EB36FC">
      <w:pPr>
        <w:rPr>
          <w:rFonts w:cs="Arial"/>
          <w:szCs w:val="24"/>
        </w:rPr>
      </w:pPr>
      <w:r>
        <w:t xml:space="preserve">Instructions for Packaging and transporting the samples to the laboratory for COVID-19 Test: </w:t>
      </w:r>
      <w:r>
        <w:rPr>
          <w:rFonts w:cs="Arial"/>
          <w:szCs w:val="24"/>
        </w:rPr>
        <w:t>MB-INF-COVID SAMPLES</w:t>
      </w:r>
    </w:p>
    <w:p w:rsidR="00970896" w:rsidRDefault="00970896" w:rsidP="00EB36FC">
      <w:pPr>
        <w:rPr>
          <w:rFonts w:cs="Arial"/>
          <w:szCs w:val="24"/>
        </w:rPr>
      </w:pPr>
      <w:r>
        <w:rPr>
          <w:rFonts w:cs="Arial"/>
          <w:szCs w:val="24"/>
        </w:rPr>
        <w:t xml:space="preserve">Instruction for </w:t>
      </w:r>
      <w:r w:rsidRPr="00970896">
        <w:rPr>
          <w:rFonts w:cs="Arial"/>
          <w:szCs w:val="22"/>
        </w:rPr>
        <w:t>Caring for COVID-19 Patients at Death, Handling and Transporting to the Mortuary</w:t>
      </w:r>
      <w:r>
        <w:rPr>
          <w:rFonts w:cs="Arial"/>
          <w:szCs w:val="22"/>
        </w:rPr>
        <w:t>: MO-SOP-COVID</w:t>
      </w:r>
    </w:p>
    <w:p w:rsidR="00EB36FC" w:rsidRDefault="00EB36FC" w:rsidP="00EB36FC">
      <w:pPr>
        <w:pStyle w:val="Heading1"/>
      </w:pPr>
      <w:bookmarkStart w:id="7" w:name="_Toc534727457"/>
      <w:bookmarkStart w:id="8" w:name="_Toc60992897"/>
      <w:r>
        <w:t>Responsibilities</w:t>
      </w:r>
      <w:bookmarkEnd w:id="7"/>
      <w:bookmarkEnd w:id="8"/>
    </w:p>
    <w:p w:rsidR="00EB36FC" w:rsidRDefault="00EB36FC" w:rsidP="00EB36FC">
      <w:pPr>
        <w:jc w:val="both"/>
      </w:pPr>
      <w:r>
        <w:t>Facilities are directly responsible for Transport within the Trust and training their staff in line with this policy.</w:t>
      </w:r>
    </w:p>
    <w:p w:rsidR="00EB36FC" w:rsidRDefault="00EB36FC" w:rsidP="00EB36FC">
      <w:pPr>
        <w:jc w:val="both"/>
      </w:pPr>
      <w:r>
        <w:t xml:space="preserve">The Laboratory Medicine Quality Manager will ensure the policy is current.  </w:t>
      </w:r>
    </w:p>
    <w:p w:rsidR="00EB36FC" w:rsidRPr="001324C0" w:rsidRDefault="00EB36FC" w:rsidP="00EB36FC">
      <w:pPr>
        <w:numPr>
          <w:ilvl w:val="1"/>
          <w:numId w:val="11"/>
        </w:numPr>
        <w:tabs>
          <w:tab w:val="num" w:pos="0"/>
        </w:tabs>
        <w:spacing w:before="120" w:after="60"/>
        <w:jc w:val="both"/>
        <w:rPr>
          <w:rFonts w:cs="Arial"/>
          <w:szCs w:val="22"/>
        </w:rPr>
      </w:pPr>
      <w:r w:rsidRPr="001324C0">
        <w:rPr>
          <w:rFonts w:cs="Arial"/>
          <w:szCs w:val="22"/>
        </w:rPr>
        <w:t>All trust staff must comply with</w:t>
      </w:r>
      <w:r>
        <w:rPr>
          <w:rFonts w:cs="Arial"/>
          <w:szCs w:val="22"/>
        </w:rPr>
        <w:t xml:space="preserve"> the Trust Information Governance Staff Guide: </w:t>
      </w:r>
      <w:r w:rsidRPr="001324C0">
        <w:rPr>
          <w:rFonts w:cs="Arial"/>
          <w:szCs w:val="22"/>
        </w:rPr>
        <w:t>Confidentiality: Code of conduct</w:t>
      </w:r>
      <w:r>
        <w:rPr>
          <w:rFonts w:cs="Arial"/>
          <w:szCs w:val="22"/>
        </w:rPr>
        <w:t xml:space="preserve">. </w:t>
      </w:r>
      <w:r w:rsidRPr="001324C0">
        <w:rPr>
          <w:rFonts w:cs="Arial"/>
          <w:szCs w:val="22"/>
        </w:rPr>
        <w:t>Diagnostic samples must be</w:t>
      </w:r>
      <w:r w:rsidRPr="001324C0">
        <w:rPr>
          <w:rFonts w:cs="Arial"/>
          <w:b/>
          <w:bCs/>
          <w:szCs w:val="22"/>
        </w:rPr>
        <w:t xml:space="preserve"> </w:t>
      </w:r>
      <w:r w:rsidRPr="001324C0">
        <w:rPr>
          <w:rFonts w:cs="Arial"/>
          <w:szCs w:val="22"/>
        </w:rPr>
        <w:t>transported in such a manner that all patient details are confidential.</w:t>
      </w:r>
    </w:p>
    <w:p w:rsidR="00EB36FC" w:rsidRDefault="00EB36FC" w:rsidP="00EB36FC">
      <w:pPr>
        <w:pStyle w:val="Heading1"/>
      </w:pPr>
      <w:bookmarkStart w:id="9" w:name="_Toc534727458"/>
      <w:bookmarkStart w:id="10" w:name="_Toc60992898"/>
      <w:r>
        <w:t>Training</w:t>
      </w:r>
      <w:bookmarkEnd w:id="9"/>
      <w:bookmarkEnd w:id="10"/>
    </w:p>
    <w:p w:rsidR="00EB36FC" w:rsidRDefault="00EB36FC" w:rsidP="00EB36FC">
      <w:pPr>
        <w:jc w:val="both"/>
      </w:pPr>
      <w:r>
        <w:t>The Laboratory Medicine Quality Manager, Mortuary Manager and Blood Transfusion Practitioner are available for training and advice as specified and when requested.</w:t>
      </w:r>
    </w:p>
    <w:p w:rsidR="00EB36FC" w:rsidRDefault="00EB36FC" w:rsidP="00EB36FC">
      <w:pPr>
        <w:pStyle w:val="Heading1"/>
      </w:pPr>
      <w:bookmarkStart w:id="11" w:name="_Toc534727459"/>
      <w:bookmarkStart w:id="12" w:name="_Toc60992899"/>
      <w:r>
        <w:t>Publication and Distribution</w:t>
      </w:r>
      <w:bookmarkEnd w:id="11"/>
      <w:bookmarkEnd w:id="12"/>
    </w:p>
    <w:p w:rsidR="00EB36FC" w:rsidRDefault="00EB36FC" w:rsidP="00EB36FC">
      <w:pPr>
        <w:rPr>
          <w:lang w:val="en-US"/>
        </w:rPr>
      </w:pPr>
      <w:r>
        <w:t xml:space="preserve">The policy is available to all Trust staff on Staff Room (Trust Intranet site). </w:t>
      </w:r>
      <w:r w:rsidRPr="002504CF">
        <w:rPr>
          <w:lang w:val="en-US"/>
        </w:rPr>
        <w:t>This Policy is to be published and distributed to all staff within the Directorate of Laboratory Medicine throug</w:t>
      </w:r>
      <w:r>
        <w:rPr>
          <w:lang w:val="en-US"/>
        </w:rPr>
        <w:t>h the Q-Pulse document module.</w:t>
      </w:r>
    </w:p>
    <w:p w:rsidR="00EB36FC" w:rsidRDefault="00EB36FC" w:rsidP="00EB36FC">
      <w:pPr>
        <w:rPr>
          <w:lang w:val="en-US"/>
        </w:rPr>
      </w:pPr>
    </w:p>
    <w:p w:rsidR="00970896" w:rsidRDefault="00970896" w:rsidP="00EB36FC">
      <w:pPr>
        <w:rPr>
          <w:lang w:val="en-US"/>
        </w:rPr>
      </w:pPr>
    </w:p>
    <w:p w:rsidR="00970896" w:rsidRDefault="00970896" w:rsidP="00EB36FC">
      <w:pPr>
        <w:rPr>
          <w:lang w:val="en-US"/>
        </w:rPr>
      </w:pPr>
    </w:p>
    <w:p w:rsidR="00EB36FC" w:rsidRPr="00230A08" w:rsidRDefault="00EB36FC" w:rsidP="00EB36FC">
      <w:pPr>
        <w:pStyle w:val="Heading1"/>
      </w:pPr>
      <w:bookmarkStart w:id="13" w:name="_Toc534727460"/>
      <w:bookmarkStart w:id="14" w:name="_Toc60992900"/>
      <w:r>
        <w:lastRenderedPageBreak/>
        <w:t>Policy</w:t>
      </w:r>
      <w:bookmarkEnd w:id="13"/>
      <w:bookmarkEnd w:id="14"/>
    </w:p>
    <w:p w:rsidR="00EB36FC" w:rsidRPr="00230A08" w:rsidRDefault="00EB36FC" w:rsidP="00EB36FC">
      <w:pPr>
        <w:pStyle w:val="Heading2"/>
      </w:pPr>
      <w:bookmarkStart w:id="15" w:name="_Toc534727461"/>
      <w:r w:rsidRPr="00230A08">
        <w:t>Portering services to Laboratory Medicine - York</w:t>
      </w:r>
      <w:bookmarkEnd w:id="15"/>
    </w:p>
    <w:p w:rsidR="00EB36FC" w:rsidRPr="004D246C" w:rsidRDefault="00EB36FC" w:rsidP="00EB36FC">
      <w:pPr>
        <w:ind w:left="360" w:hanging="360"/>
        <w:rPr>
          <w:b/>
        </w:rPr>
      </w:pPr>
      <w:r w:rsidRPr="004D246C">
        <w:rPr>
          <w:b/>
        </w:rPr>
        <w:t>Portering staff provide a range of services to Laboratory Medicine</w:t>
      </w:r>
      <w:r>
        <w:rPr>
          <w:b/>
        </w:rPr>
        <w:t xml:space="preserve"> at York</w:t>
      </w:r>
      <w:r w:rsidRPr="004D246C">
        <w:rPr>
          <w:b/>
        </w:rPr>
        <w:t xml:space="preserve"> – these include:</w:t>
      </w:r>
    </w:p>
    <w:p w:rsidR="00EB36FC" w:rsidRPr="004D246C" w:rsidRDefault="00EB36FC" w:rsidP="00EB36FC">
      <w:pPr>
        <w:numPr>
          <w:ilvl w:val="0"/>
          <w:numId w:val="6"/>
        </w:numPr>
      </w:pPr>
      <w:r w:rsidRPr="004D246C">
        <w:t>Collection and transport of all diagnostic specimens from wards, c</w:t>
      </w:r>
      <w:r>
        <w:t>linics and theatres as required.</w:t>
      </w:r>
    </w:p>
    <w:p w:rsidR="00EB36FC" w:rsidRPr="004D246C" w:rsidRDefault="00EB36FC" w:rsidP="00EB36FC">
      <w:pPr>
        <w:numPr>
          <w:ilvl w:val="0"/>
          <w:numId w:val="6"/>
        </w:numPr>
      </w:pPr>
      <w:r w:rsidRPr="004D246C">
        <w:t>The transportation of bodies to the mortuary.</w:t>
      </w:r>
    </w:p>
    <w:p w:rsidR="00EB36FC" w:rsidRPr="004D246C" w:rsidRDefault="00EB36FC" w:rsidP="00EB36FC">
      <w:pPr>
        <w:numPr>
          <w:ilvl w:val="0"/>
          <w:numId w:val="6"/>
        </w:numPr>
      </w:pPr>
      <w:r w:rsidRPr="004D246C">
        <w:t>The collection and transport of blood and products both from the Blood Transfusion laboratory on the second floor laboratory medicine and to the Issue Blood Bank fridge located in theatres.</w:t>
      </w:r>
    </w:p>
    <w:p w:rsidR="00EB36FC" w:rsidRDefault="00EB36FC" w:rsidP="00EB36FC">
      <w:pPr>
        <w:numPr>
          <w:ilvl w:val="0"/>
          <w:numId w:val="6"/>
        </w:numPr>
      </w:pPr>
      <w:r w:rsidRPr="004D246C">
        <w:t>The delivery of printed reports to wards, clinics and theatres</w:t>
      </w:r>
    </w:p>
    <w:p w:rsidR="00EB36FC" w:rsidRPr="00230A08" w:rsidRDefault="00EB36FC" w:rsidP="00EB36FC">
      <w:pPr>
        <w:pStyle w:val="Heading2"/>
      </w:pPr>
      <w:bookmarkStart w:id="16" w:name="_Toc534727462"/>
      <w:r w:rsidRPr="00230A08">
        <w:t>Portering servic</w:t>
      </w:r>
      <w:r>
        <w:t>es to Laboratory Medicine - Scarborough</w:t>
      </w:r>
      <w:bookmarkEnd w:id="16"/>
    </w:p>
    <w:p w:rsidR="00EB36FC" w:rsidRDefault="00EB36FC" w:rsidP="00EB36FC">
      <w:pPr>
        <w:rPr>
          <w:b/>
        </w:rPr>
      </w:pPr>
    </w:p>
    <w:p w:rsidR="00EB36FC" w:rsidRPr="00E11533" w:rsidRDefault="00EB36FC" w:rsidP="00EB36FC">
      <w:pPr>
        <w:rPr>
          <w:b/>
        </w:rPr>
      </w:pPr>
      <w:r w:rsidRPr="00E11533">
        <w:rPr>
          <w:b/>
        </w:rPr>
        <w:t>Portering staff at Scarborough are not expected to carry out the same services as at York, services include:</w:t>
      </w:r>
    </w:p>
    <w:p w:rsidR="00EB36FC" w:rsidRDefault="00EB36FC" w:rsidP="00EB36FC">
      <w:pPr>
        <w:numPr>
          <w:ilvl w:val="0"/>
          <w:numId w:val="6"/>
        </w:numPr>
      </w:pPr>
      <w:r w:rsidRPr="004D246C">
        <w:t>The transportation of bodies to the mortuary.</w:t>
      </w:r>
    </w:p>
    <w:p w:rsidR="00EB36FC" w:rsidRDefault="00EB36FC" w:rsidP="00EB36FC"/>
    <w:p w:rsidR="00EB36FC" w:rsidRDefault="00EB36FC" w:rsidP="00EB36FC">
      <w:r>
        <w:t>Portering staff will attend induction training given by the Mortuary Manager as the site requires (LM-INF-PRTRS IND).  This will be recorded using the template LM-TEM-PRTRS IND by Laboratory Medicine as LM-REC-PRTRS INDXXYY, where YY is the year and MM is the month that the training occurred.</w:t>
      </w:r>
    </w:p>
    <w:p w:rsidR="00EB36FC" w:rsidRPr="004D246C" w:rsidRDefault="00EB36FC" w:rsidP="00EB36FC">
      <w:r>
        <w:t>The Blood Transfusion Practitioner will also provide training which is recorded on the Learning Hub.</w:t>
      </w:r>
    </w:p>
    <w:p w:rsidR="00EB36FC" w:rsidRDefault="00EB36FC" w:rsidP="00EB36FC">
      <w:pPr>
        <w:pStyle w:val="Heading2"/>
      </w:pPr>
      <w:bookmarkStart w:id="17" w:name="_Toc534727463"/>
      <w:r>
        <w:t>Model Rules</w:t>
      </w:r>
      <w:bookmarkEnd w:id="17"/>
    </w:p>
    <w:p w:rsidR="00EB36FC" w:rsidRPr="004D246C" w:rsidRDefault="00EB36FC" w:rsidP="00EB36FC">
      <w:pPr>
        <w:rPr>
          <w:b/>
        </w:rPr>
      </w:pPr>
      <w:r w:rsidRPr="004D246C">
        <w:rPr>
          <w:b/>
        </w:rPr>
        <w:t>Portering staff are expected to comply with the following model rules at all ti</w:t>
      </w:r>
      <w:r>
        <w:rPr>
          <w:b/>
        </w:rPr>
        <w:t>mes when they are on duty on both</w:t>
      </w:r>
      <w:r w:rsidRPr="004D246C">
        <w:rPr>
          <w:b/>
        </w:rPr>
        <w:t xml:space="preserve"> York </w:t>
      </w:r>
      <w:r>
        <w:rPr>
          <w:b/>
        </w:rPr>
        <w:t xml:space="preserve">Teaching </w:t>
      </w:r>
      <w:r w:rsidRPr="004D246C">
        <w:rPr>
          <w:b/>
        </w:rPr>
        <w:t>Hospital NHS</w:t>
      </w:r>
      <w:r>
        <w:rPr>
          <w:b/>
        </w:rPr>
        <w:t xml:space="preserve"> Foundation</w:t>
      </w:r>
      <w:r w:rsidRPr="004D246C">
        <w:rPr>
          <w:b/>
        </w:rPr>
        <w:t xml:space="preserve"> Trust site</w:t>
      </w:r>
      <w:r>
        <w:rPr>
          <w:b/>
        </w:rPr>
        <w:t>s</w:t>
      </w:r>
      <w:r w:rsidRPr="004D246C">
        <w:rPr>
          <w:b/>
        </w:rPr>
        <w:t>:</w:t>
      </w:r>
    </w:p>
    <w:p w:rsidR="00EB36FC" w:rsidRPr="004D246C" w:rsidRDefault="00EB36FC" w:rsidP="00EB36FC"/>
    <w:p w:rsidR="00EB36FC" w:rsidRDefault="00EB36FC" w:rsidP="00EB36FC">
      <w:pPr>
        <w:numPr>
          <w:ilvl w:val="0"/>
          <w:numId w:val="5"/>
        </w:numPr>
      </w:pPr>
      <w:r w:rsidRPr="004D246C">
        <w:t>Portering staff will act at all times in a courteous and sensitive manner with all staff, patients and visitors.</w:t>
      </w:r>
    </w:p>
    <w:p w:rsidR="00EB36FC" w:rsidRPr="004D246C" w:rsidRDefault="00EB36FC" w:rsidP="00EB36FC">
      <w:pPr>
        <w:numPr>
          <w:ilvl w:val="0"/>
          <w:numId w:val="5"/>
        </w:numPr>
      </w:pPr>
      <w:r w:rsidRPr="004D246C">
        <w:t>Portering staff will ensure they wear the correct uniform provided, and comply with the current Trust dress code.</w:t>
      </w:r>
    </w:p>
    <w:p w:rsidR="00EB36FC" w:rsidRPr="004D246C" w:rsidRDefault="00EB36FC" w:rsidP="00EB36FC">
      <w:pPr>
        <w:numPr>
          <w:ilvl w:val="0"/>
          <w:numId w:val="5"/>
        </w:numPr>
      </w:pPr>
      <w:r w:rsidRPr="004D246C">
        <w:t>All portering staff will follow all Trust guidelines and policies relating to Health and Safety at Work as required for their portering post.</w:t>
      </w:r>
    </w:p>
    <w:p w:rsidR="00EB36FC" w:rsidRPr="004D246C" w:rsidRDefault="00EB36FC" w:rsidP="00EB36FC">
      <w:pPr>
        <w:numPr>
          <w:ilvl w:val="0"/>
          <w:numId w:val="5"/>
        </w:numPr>
      </w:pPr>
      <w:r w:rsidRPr="004D246C">
        <w:t>When transporting bodies to the mortuary these will be treated with di</w:t>
      </w:r>
      <w:r>
        <w:t xml:space="preserve">gnity and respect at all times. Please refer to MO-SOP-PORTERS (York) and SMO-SOP-PORTERS (Scarborough) available on Staff Room - </w:t>
      </w:r>
      <w:hyperlink r:id="rId14" w:history="1">
        <w:r w:rsidRPr="00EA4C9A">
          <w:rPr>
            <w:color w:val="0000FF"/>
            <w:u w:val="single"/>
            <w:lang w:val="en"/>
          </w:rPr>
          <w:t>Home</w:t>
        </w:r>
      </w:hyperlink>
      <w:r w:rsidRPr="00EA4C9A">
        <w:rPr>
          <w:lang w:val="en"/>
        </w:rPr>
        <w:t xml:space="preserve"> › </w:t>
      </w:r>
      <w:hyperlink r:id="rId15" w:history="1">
        <w:r w:rsidRPr="00EA4C9A">
          <w:rPr>
            <w:color w:val="0000FF"/>
            <w:u w:val="single"/>
            <w:lang w:val="en"/>
          </w:rPr>
          <w:t>Policies and Procedures</w:t>
        </w:r>
      </w:hyperlink>
      <w:r w:rsidRPr="00EA4C9A">
        <w:rPr>
          <w:lang w:val="en"/>
        </w:rPr>
        <w:t xml:space="preserve"> › </w:t>
      </w:r>
      <w:hyperlink r:id="rId16" w:history="1">
        <w:r w:rsidRPr="00EA4C9A">
          <w:rPr>
            <w:color w:val="0000FF"/>
            <w:u w:val="single"/>
            <w:lang w:val="en"/>
          </w:rPr>
          <w:t>Clinical Documents</w:t>
        </w:r>
      </w:hyperlink>
      <w:r w:rsidRPr="00EA4C9A">
        <w:rPr>
          <w:lang w:val="en"/>
        </w:rPr>
        <w:t xml:space="preserve"> › </w:t>
      </w:r>
      <w:hyperlink r:id="rId17" w:history="1">
        <w:r w:rsidRPr="00EA4C9A">
          <w:rPr>
            <w:color w:val="0000FF"/>
            <w:u w:val="single"/>
            <w:lang w:val="en"/>
          </w:rPr>
          <w:t>Laboratory Medicine</w:t>
        </w:r>
      </w:hyperlink>
      <w:r w:rsidRPr="00EA4C9A">
        <w:rPr>
          <w:lang w:val="en"/>
        </w:rPr>
        <w:t xml:space="preserve"> </w:t>
      </w:r>
    </w:p>
    <w:p w:rsidR="00EB36FC" w:rsidRPr="004D246C" w:rsidRDefault="00EB36FC" w:rsidP="00EB36FC">
      <w:pPr>
        <w:numPr>
          <w:ilvl w:val="0"/>
          <w:numId w:val="5"/>
        </w:numPr>
      </w:pPr>
      <w:r w:rsidRPr="004D246C">
        <w:t>Portering staff will maintain patient confidentiality at all times in line with Trust policy. Failure to do so will be regarded as a serious disciplinary matter.</w:t>
      </w:r>
    </w:p>
    <w:p w:rsidR="00EB36FC" w:rsidRPr="004D246C" w:rsidRDefault="00EB36FC" w:rsidP="00EB36FC">
      <w:pPr>
        <w:numPr>
          <w:ilvl w:val="0"/>
          <w:numId w:val="5"/>
        </w:numPr>
      </w:pPr>
      <w:r w:rsidRPr="004D246C">
        <w:t>Portering staff required to transport blood and products for transfusion must undertake training and competency assessment in these procedures prior to undertaking these tasks.</w:t>
      </w:r>
    </w:p>
    <w:p w:rsidR="00EB36FC" w:rsidRDefault="00EB36FC" w:rsidP="00EB36FC">
      <w:pPr>
        <w:numPr>
          <w:ilvl w:val="0"/>
          <w:numId w:val="5"/>
        </w:numPr>
      </w:pPr>
      <w:r>
        <w:lastRenderedPageBreak/>
        <w:t>No member of the p</w:t>
      </w:r>
      <w:r w:rsidRPr="004D246C">
        <w:t>ortering staff should use the Blood Bank fridge without undergoing appropriate training in its use.</w:t>
      </w:r>
    </w:p>
    <w:p w:rsidR="00EB36FC" w:rsidRPr="00A9550A" w:rsidRDefault="00EB36FC" w:rsidP="00EB36FC">
      <w:pPr>
        <w:ind w:left="720"/>
        <w:rPr>
          <w:b/>
        </w:rPr>
      </w:pPr>
      <w:r w:rsidRPr="00A9550A">
        <w:rPr>
          <w:b/>
        </w:rPr>
        <w:t>The following sections apply to York only:</w:t>
      </w:r>
    </w:p>
    <w:p w:rsidR="00EB36FC" w:rsidRDefault="00EB36FC" w:rsidP="00EB36FC">
      <w:pPr>
        <w:numPr>
          <w:ilvl w:val="0"/>
          <w:numId w:val="5"/>
        </w:numPr>
      </w:pPr>
      <w:r w:rsidRPr="004D246C">
        <w:t xml:space="preserve">When transporting specimens to or from the laboratory portering staff will follow transportation guidance as outlined in the Laboratory Medicine “Transportation </w:t>
      </w:r>
      <w:r>
        <w:t xml:space="preserve">and posting of specimens” procedure, available on Staff Room - </w:t>
      </w:r>
      <w:hyperlink r:id="rId18" w:history="1">
        <w:r w:rsidRPr="00EA4C9A">
          <w:rPr>
            <w:color w:val="0000FF"/>
            <w:u w:val="single"/>
            <w:lang w:val="en"/>
          </w:rPr>
          <w:t>Home</w:t>
        </w:r>
      </w:hyperlink>
      <w:r w:rsidRPr="00EA4C9A">
        <w:rPr>
          <w:lang w:val="en"/>
        </w:rPr>
        <w:t xml:space="preserve"> › </w:t>
      </w:r>
      <w:hyperlink r:id="rId19" w:history="1">
        <w:r w:rsidRPr="00EA4C9A">
          <w:rPr>
            <w:color w:val="0000FF"/>
            <w:u w:val="single"/>
            <w:lang w:val="en"/>
          </w:rPr>
          <w:t>Policies and Procedures</w:t>
        </w:r>
      </w:hyperlink>
      <w:r w:rsidRPr="00EA4C9A">
        <w:rPr>
          <w:lang w:val="en"/>
        </w:rPr>
        <w:t xml:space="preserve"> › </w:t>
      </w:r>
      <w:hyperlink r:id="rId20" w:history="1">
        <w:r w:rsidRPr="00EA4C9A">
          <w:rPr>
            <w:color w:val="0000FF"/>
            <w:u w:val="single"/>
            <w:lang w:val="en"/>
          </w:rPr>
          <w:t>Clinical Documents</w:t>
        </w:r>
      </w:hyperlink>
      <w:r w:rsidRPr="00EA4C9A">
        <w:rPr>
          <w:lang w:val="en"/>
        </w:rPr>
        <w:t xml:space="preserve"> › </w:t>
      </w:r>
      <w:hyperlink r:id="rId21" w:history="1">
        <w:r w:rsidRPr="00EA4C9A">
          <w:rPr>
            <w:color w:val="0000FF"/>
            <w:u w:val="single"/>
            <w:lang w:val="en"/>
          </w:rPr>
          <w:t>Laboratory Medicine</w:t>
        </w:r>
      </w:hyperlink>
      <w:r w:rsidRPr="00EA4C9A">
        <w:rPr>
          <w:lang w:val="en"/>
        </w:rPr>
        <w:t xml:space="preserve"> </w:t>
      </w:r>
    </w:p>
    <w:p w:rsidR="00EB36FC" w:rsidRPr="004D246C" w:rsidRDefault="00EB36FC" w:rsidP="00EB36FC">
      <w:pPr>
        <w:numPr>
          <w:ilvl w:val="0"/>
          <w:numId w:val="5"/>
        </w:numPr>
      </w:pPr>
      <w:r w:rsidRPr="004D246C">
        <w:t>At no time must portering staff carry specimens without a secondary container (be it a metal box or zip lock sealed polythene bag). White Diagnostic Specimen bags with absorbent pads are provided for this purpose and are available from Pathology Specimen Reception (tel: 726542) at any time. This is to ensure the integrity of any spillage and protect the member of staff from possible contamination.</w:t>
      </w:r>
    </w:p>
    <w:p w:rsidR="00EB36FC" w:rsidRDefault="00EB36FC" w:rsidP="00EB36FC">
      <w:pPr>
        <w:numPr>
          <w:ilvl w:val="0"/>
          <w:numId w:val="5"/>
        </w:numPr>
      </w:pPr>
      <w:r w:rsidRPr="004D246C">
        <w:t>After transporting specimens to the laboratory, portering staff should wash their hands thoroughly.  Under exceptional circumstances where this is not possible, alcohol gel may used.</w:t>
      </w:r>
    </w:p>
    <w:p w:rsidR="00EB36FC" w:rsidRDefault="00EB36FC" w:rsidP="00EB36FC">
      <w:pPr>
        <w:numPr>
          <w:ilvl w:val="0"/>
          <w:numId w:val="5"/>
        </w:numPr>
      </w:pPr>
      <w:r>
        <w:t xml:space="preserve">In routine hours </w:t>
      </w:r>
      <w:r w:rsidRPr="004D246C">
        <w:t>(9.00 - 5.00 pm)</w:t>
      </w:r>
      <w:r>
        <w:t>, p</w:t>
      </w:r>
      <w:r w:rsidRPr="004D246C">
        <w:t xml:space="preserve">ortering staff should transport specimens directly to </w:t>
      </w:r>
      <w:r>
        <w:t xml:space="preserve">York </w:t>
      </w:r>
      <w:r w:rsidRPr="004D246C">
        <w:t>specimen reception on the Ground Floor opposite Pharmacy; all specimens should be contained in a box or secondary impervious and leak-proof container.</w:t>
      </w:r>
      <w:r>
        <w:t xml:space="preserve"> </w:t>
      </w:r>
    </w:p>
    <w:p w:rsidR="00EB36FC" w:rsidRPr="004D246C" w:rsidRDefault="00EB36FC" w:rsidP="00EB36FC">
      <w:pPr>
        <w:numPr>
          <w:ilvl w:val="0"/>
          <w:numId w:val="5"/>
        </w:numPr>
      </w:pPr>
      <w:r w:rsidRPr="004D246C">
        <w:t>Outside normal hours</w:t>
      </w:r>
      <w:r>
        <w:t>,</w:t>
      </w:r>
      <w:r w:rsidRPr="004D246C">
        <w:t xml:space="preserve"> samples left at the Main Reception should be transported to Laboratory Medicine without delay and delivered directly to the relevant laboratory on the first or second floor.</w:t>
      </w:r>
    </w:p>
    <w:p w:rsidR="00EB36FC" w:rsidRPr="005338B1" w:rsidRDefault="00EB36FC" w:rsidP="00EB36FC">
      <w:pPr>
        <w:numPr>
          <w:ilvl w:val="0"/>
          <w:numId w:val="5"/>
        </w:numPr>
        <w:rPr>
          <w:b/>
        </w:rPr>
      </w:pPr>
      <w:r>
        <w:t>T</w:t>
      </w:r>
      <w:r w:rsidRPr="004D246C">
        <w:t xml:space="preserve">heatre tins containing Microbiology samples and fresh Histology samples taken at theatre should be delivered directly to the Microbiology department on the first floor of the pathology block.  During Microbiology normal working hours (Monday to Friday 08:30-20:00, Saturday 08:30-17:00, and Sunday 08:30-16:00) the theatre tin should be handed directly to a member of Microbiology staff.  Out of normal working hours if there is no one to hand the theatre tin to it should be placed in the Microbiology cold store which is located on the right hand side of the Microbiology corridor if heading from out of the main stairwell, about half way down and is labelled 'Cold Room'.  The theatre tin is placed on the floor just inside the door on the right hand side.  </w:t>
      </w:r>
      <w:r w:rsidRPr="005338B1">
        <w:rPr>
          <w:b/>
        </w:rPr>
        <w:t xml:space="preserve">Under no circumstances should the theatre tin be delivered to the second floor.  </w:t>
      </w:r>
    </w:p>
    <w:p w:rsidR="00EB36FC" w:rsidRDefault="00EB36FC" w:rsidP="00EB36FC">
      <w:pPr>
        <w:numPr>
          <w:ilvl w:val="0"/>
          <w:numId w:val="5"/>
        </w:numPr>
        <w:rPr>
          <w:b/>
        </w:rPr>
      </w:pPr>
      <w:r w:rsidRPr="004D246C">
        <w:t xml:space="preserve">There may be occasion under direction of the theatre staff that sentinel lymph node breast specimens are delivered in a theatre tin directly to Histology on the third floor during normal working hours (Monday to Friday 08:30-17:00).  The theatre tin should be handed directly to a member of staff. Out of hours the theatre tin should be placed in the fridge facing you as you come out of the lift with a sign on it saying ‘Theatre Tin’.  </w:t>
      </w:r>
      <w:r w:rsidRPr="004D246C">
        <w:rPr>
          <w:b/>
        </w:rPr>
        <w:t>For all other theatre tin deliveries please follow the instructions above</w:t>
      </w:r>
    </w:p>
    <w:p w:rsidR="00EB36FC" w:rsidRPr="004D246C" w:rsidRDefault="00EB36FC" w:rsidP="00EB36FC">
      <w:pPr>
        <w:rPr>
          <w:b/>
        </w:rPr>
      </w:pPr>
    </w:p>
    <w:p w:rsidR="00EB36FC" w:rsidRPr="00DB394D" w:rsidRDefault="00EB36FC" w:rsidP="00EB36FC">
      <w:pPr>
        <w:numPr>
          <w:ilvl w:val="0"/>
          <w:numId w:val="5"/>
        </w:numPr>
        <w:rPr>
          <w:b/>
        </w:rPr>
      </w:pPr>
      <w:r w:rsidRPr="00DB394D">
        <w:rPr>
          <w:b/>
        </w:rPr>
        <w:t>In the event of a specimen spillage:</w:t>
      </w:r>
    </w:p>
    <w:p w:rsidR="00EB36FC" w:rsidRDefault="00EB36FC" w:rsidP="00EB36FC">
      <w:pPr>
        <w:numPr>
          <w:ilvl w:val="0"/>
          <w:numId w:val="10"/>
        </w:numPr>
        <w:jc w:val="both"/>
      </w:pPr>
      <w:r w:rsidRPr="00DB394D">
        <w:rPr>
          <w:b/>
        </w:rPr>
        <w:t>Samples should always be transported within the hospital site in a secondary container, either the diagnostic specimen sample transport bag or lockable metal tin</w:t>
      </w:r>
      <w:r>
        <w:t xml:space="preserve">. If the </w:t>
      </w:r>
      <w:r w:rsidRPr="00CC460F">
        <w:t xml:space="preserve">secondary container is dropped in transit and a breakage is suspected, the secondary container should not be opened. The suspected container should be returned to Laboratory Medicine, where staff should be made aware that a breakage is </w:t>
      </w:r>
      <w:r w:rsidRPr="00CC460F">
        <w:lastRenderedPageBreak/>
        <w:t>suspected. The container should then be taken to the Microbiology Department for appropriate action to be taken.</w:t>
      </w:r>
      <w:r>
        <w:t xml:space="preserve"> </w:t>
      </w:r>
    </w:p>
    <w:p w:rsidR="00EB36FC" w:rsidRDefault="00EB36FC" w:rsidP="00EB36FC">
      <w:pPr>
        <w:numPr>
          <w:ilvl w:val="0"/>
          <w:numId w:val="10"/>
        </w:numPr>
        <w:jc w:val="both"/>
      </w:pPr>
      <w:r w:rsidRPr="00DB394D">
        <w:rPr>
          <w:b/>
        </w:rPr>
        <w:t>Transport staff must not touch or try to clear up the spill</w:t>
      </w:r>
      <w:r w:rsidRPr="00B9793E">
        <w:t xml:space="preserve">.  Stay with the specimen to prevent other people touching it and send somebody to the Microbiology Dept for assistance or, </w:t>
      </w:r>
      <w:r>
        <w:t>get a member of staff to phone M</w:t>
      </w:r>
      <w:r w:rsidRPr="00B9793E">
        <w:t xml:space="preserve">icrobiology on extension </w:t>
      </w:r>
      <w:r>
        <w:t xml:space="preserve">York 5856 Scarborough </w:t>
      </w:r>
      <w:r w:rsidRPr="00B9793E">
        <w:t>2288 for assistance.</w:t>
      </w:r>
    </w:p>
    <w:p w:rsidR="00EB36FC" w:rsidRPr="00F908FB" w:rsidRDefault="00EB36FC" w:rsidP="00EB36FC">
      <w:pPr>
        <w:numPr>
          <w:ilvl w:val="0"/>
          <w:numId w:val="10"/>
        </w:numPr>
        <w:jc w:val="both"/>
      </w:pPr>
      <w:r w:rsidRPr="00DB394D">
        <w:rPr>
          <w:b/>
        </w:rPr>
        <w:t>In the event of a spillage of formalin from a Histology sample</w:t>
      </w:r>
      <w:r w:rsidRPr="00F908FB">
        <w:t xml:space="preserve"> (this could be from sample containers varyi</w:t>
      </w:r>
      <w:r>
        <w:t>ng from 60ml through to 500ml) p</w:t>
      </w:r>
      <w:r w:rsidRPr="00F908FB">
        <w:t>ortering staff should be aware this is a hazardous fluid that should not be touched without gloves. Care should be taken not to splash in the eye, should this occur promptly wash eyes with lots of water while lifting the eyelids, for 15 minutes.  For small spillages try to ventilate the area; the spill may be mopped up (whilst wearing gloves) with a paper towel and the contaminated material placed in a sealed bag and brought to the histology department for disposal in clinical waste.  For larger spillages try to ventilate the area or if this is not possible try to restrict access to the area of the spill. Please contact Laboratory Medicine specimen reception to obtain spillage absorption granules specific for formalin. These should be scattered around the spillage to contain it then poured over the centre to absorb and neutralise any remainder. The granules and any other contaminated material should then be placed in a sealed bag and disposed of in the nearest clinical waste.  If the spillage happens in normal working hours please contact the histology laborato</w:t>
      </w:r>
      <w:r>
        <w:t xml:space="preserve">ry on ext. York 5728 </w:t>
      </w:r>
      <w:r w:rsidRPr="00F908FB">
        <w:t>for advice or assistance, and for disposal of contaminated material. Should the spillage happen out of normal working hours (8.30 to 5pm Monday-Friday) then the spillage granules are located in laboratory medicine reception just inside the double doors on the shelves to the left hand side.</w:t>
      </w:r>
    </w:p>
    <w:p w:rsidR="00EB36FC" w:rsidRDefault="00EB36FC" w:rsidP="00EB36FC">
      <w:pPr>
        <w:numPr>
          <w:ilvl w:val="1"/>
          <w:numId w:val="5"/>
        </w:numPr>
      </w:pPr>
      <w:r>
        <w:t xml:space="preserve">Wash hands and complete a DATIX </w:t>
      </w:r>
      <w:r w:rsidRPr="004D246C">
        <w:t>Adverse Incident form</w:t>
      </w:r>
    </w:p>
    <w:p w:rsidR="00692B79" w:rsidRDefault="00692B79" w:rsidP="00692B79">
      <w:pPr>
        <w:ind w:left="1440"/>
      </w:pPr>
    </w:p>
    <w:p w:rsidR="00E65ABD" w:rsidRPr="00E65ABD" w:rsidRDefault="00692B79" w:rsidP="00E65ABD">
      <w:pPr>
        <w:pStyle w:val="ListParagraph"/>
        <w:rPr>
          <w:b/>
        </w:rPr>
      </w:pPr>
      <w:r w:rsidRPr="00E65ABD">
        <w:rPr>
          <w:b/>
        </w:rPr>
        <w:t>Transportation of samples for COVID-19 testing</w:t>
      </w:r>
    </w:p>
    <w:p w:rsidR="00E65ABD" w:rsidRPr="00164FE2" w:rsidRDefault="00E65ABD" w:rsidP="00E65ABD">
      <w:pPr>
        <w:pStyle w:val="ListParagraph"/>
        <w:rPr>
          <w:szCs w:val="22"/>
        </w:rPr>
      </w:pPr>
    </w:p>
    <w:p w:rsidR="00692B79" w:rsidRPr="00164FE2" w:rsidRDefault="00692B79" w:rsidP="00E65ABD">
      <w:pPr>
        <w:pStyle w:val="ListParagraph"/>
        <w:numPr>
          <w:ilvl w:val="0"/>
          <w:numId w:val="5"/>
        </w:numPr>
        <w:jc w:val="both"/>
        <w:rPr>
          <w:szCs w:val="22"/>
        </w:rPr>
      </w:pPr>
      <w:r w:rsidRPr="00164FE2">
        <w:rPr>
          <w:szCs w:val="22"/>
        </w:rPr>
        <w:t xml:space="preserve">A complete list of instructions for how to package and transport samples for COVID-19 testing can be found on the hospital intranet, please read and follow these instructions carefully. </w:t>
      </w:r>
      <w:hyperlink r:id="rId22" w:history="1">
        <w:r w:rsidRPr="00164FE2">
          <w:rPr>
            <w:rStyle w:val="Hyperlink"/>
            <w:szCs w:val="22"/>
          </w:rPr>
          <w:t>Home</w:t>
        </w:r>
      </w:hyperlink>
      <w:r w:rsidRPr="00164FE2">
        <w:rPr>
          <w:szCs w:val="22"/>
        </w:rPr>
        <w:t xml:space="preserve"> &gt; </w:t>
      </w:r>
      <w:hyperlink r:id="rId23" w:history="1">
        <w:r w:rsidRPr="00164FE2">
          <w:rPr>
            <w:rStyle w:val="Hyperlink"/>
            <w:szCs w:val="22"/>
          </w:rPr>
          <w:t>Covid-19: all the latest information</w:t>
        </w:r>
      </w:hyperlink>
      <w:r w:rsidRPr="00164FE2">
        <w:rPr>
          <w:szCs w:val="22"/>
        </w:rPr>
        <w:t xml:space="preserve"> </w:t>
      </w:r>
      <w:r w:rsidR="00385C6B" w:rsidRPr="00164FE2">
        <w:rPr>
          <w:szCs w:val="22"/>
        </w:rPr>
        <w:t xml:space="preserve">&gt; </w:t>
      </w:r>
      <w:hyperlink r:id="rId24" w:history="1">
        <w:r w:rsidR="00385C6B" w:rsidRPr="00164FE2">
          <w:rPr>
            <w:rStyle w:val="Hyperlink"/>
            <w:szCs w:val="22"/>
          </w:rPr>
          <w:t>Labs and sample handling</w:t>
        </w:r>
      </w:hyperlink>
      <w:r w:rsidR="00385C6B" w:rsidRPr="00164FE2">
        <w:rPr>
          <w:szCs w:val="22"/>
        </w:rPr>
        <w:t xml:space="preserve"> &gt; </w:t>
      </w:r>
      <w:hyperlink r:id="rId25" w:history="1">
        <w:r w:rsidR="00724B1F">
          <w:rPr>
            <w:rStyle w:val="Hyperlink"/>
            <w:lang w:val="en"/>
          </w:rPr>
          <w:t>Instructions for packaging and transporting the samples to the laboratory for Covid-19 test</w:t>
        </w:r>
      </w:hyperlink>
    </w:p>
    <w:p w:rsidR="00060517" w:rsidRPr="00164FE2" w:rsidRDefault="00E65ABD" w:rsidP="00060517">
      <w:pPr>
        <w:pStyle w:val="ListParagraph"/>
        <w:numPr>
          <w:ilvl w:val="0"/>
          <w:numId w:val="5"/>
        </w:numPr>
        <w:jc w:val="both"/>
        <w:rPr>
          <w:szCs w:val="22"/>
        </w:rPr>
      </w:pPr>
      <w:r w:rsidRPr="00164FE2">
        <w:rPr>
          <w:szCs w:val="22"/>
        </w:rPr>
        <w:t>Swabs are supplied by Microbiology department. Usually, swabs are replenished when samples are delivered to the lab. However, small supplies of swab kits for out of hour use should be collected from the microbiology before the end of the day (closing time 5:15pm).</w:t>
      </w:r>
    </w:p>
    <w:p w:rsidR="00164FE2" w:rsidRPr="00164FE2" w:rsidRDefault="00164FE2" w:rsidP="00164FE2">
      <w:pPr>
        <w:pStyle w:val="ListParagraph"/>
        <w:jc w:val="both"/>
        <w:rPr>
          <w:szCs w:val="22"/>
        </w:rPr>
      </w:pPr>
    </w:p>
    <w:p w:rsidR="00060517" w:rsidRPr="00164FE2" w:rsidRDefault="00060517" w:rsidP="00060517">
      <w:pPr>
        <w:pStyle w:val="ListParagraph"/>
        <w:jc w:val="both"/>
        <w:rPr>
          <w:szCs w:val="22"/>
        </w:rPr>
      </w:pPr>
    </w:p>
    <w:p w:rsidR="00164FE2" w:rsidRPr="00164FE2" w:rsidRDefault="00060517" w:rsidP="00164FE2">
      <w:pPr>
        <w:pStyle w:val="ListParagraph"/>
        <w:jc w:val="both"/>
        <w:rPr>
          <w:szCs w:val="22"/>
        </w:rPr>
      </w:pPr>
      <w:r w:rsidRPr="00164FE2">
        <w:rPr>
          <w:rFonts w:cs="Arial"/>
          <w:b/>
          <w:szCs w:val="22"/>
        </w:rPr>
        <w:t>Caring for COVID-19 Patients at Death, Handling and Transporting to the Mortuary</w:t>
      </w:r>
    </w:p>
    <w:p w:rsidR="00164FE2" w:rsidRPr="00164FE2" w:rsidRDefault="00164FE2" w:rsidP="00164FE2">
      <w:pPr>
        <w:pStyle w:val="ListParagraph"/>
        <w:rPr>
          <w:rFonts w:cs="Arial"/>
          <w:szCs w:val="22"/>
        </w:rPr>
      </w:pPr>
    </w:p>
    <w:p w:rsidR="00060517" w:rsidRPr="00164FE2" w:rsidRDefault="00164FE2" w:rsidP="00060517">
      <w:pPr>
        <w:pStyle w:val="ListParagraph"/>
        <w:numPr>
          <w:ilvl w:val="0"/>
          <w:numId w:val="5"/>
        </w:numPr>
        <w:jc w:val="both"/>
        <w:rPr>
          <w:szCs w:val="22"/>
        </w:rPr>
      </w:pPr>
      <w:r w:rsidRPr="00164FE2">
        <w:rPr>
          <w:rFonts w:cs="Arial"/>
          <w:szCs w:val="22"/>
        </w:rPr>
        <w:t xml:space="preserve">To ensure dignity is maintained for the patient, </w:t>
      </w:r>
      <w:r w:rsidRPr="00164FE2">
        <w:rPr>
          <w:szCs w:val="22"/>
        </w:rPr>
        <w:t>please read and follow the</w:t>
      </w:r>
      <w:r w:rsidRPr="00164FE2">
        <w:rPr>
          <w:rFonts w:cs="Arial"/>
          <w:szCs w:val="22"/>
        </w:rPr>
        <w:t xml:space="preserve"> instructions that can be found on the Trust Staff Room site </w:t>
      </w:r>
      <w:hyperlink r:id="rId26" w:history="1">
        <w:r w:rsidRPr="00164FE2">
          <w:rPr>
            <w:color w:val="0000FF"/>
            <w:szCs w:val="22"/>
            <w:u w:val="single"/>
            <w:lang w:val="en"/>
          </w:rPr>
          <w:t>Home</w:t>
        </w:r>
      </w:hyperlink>
      <w:r>
        <w:rPr>
          <w:szCs w:val="22"/>
          <w:lang w:val="en"/>
        </w:rPr>
        <w:t xml:space="preserve"> &gt;</w:t>
      </w:r>
      <w:r w:rsidR="00843274">
        <w:rPr>
          <w:szCs w:val="22"/>
          <w:lang w:val="en"/>
        </w:rPr>
        <w:t xml:space="preserve"> </w:t>
      </w:r>
      <w:hyperlink r:id="rId27" w:history="1">
        <w:r w:rsidR="00843274" w:rsidRPr="00164FE2">
          <w:rPr>
            <w:rStyle w:val="Hyperlink"/>
            <w:szCs w:val="22"/>
          </w:rPr>
          <w:t>Covid-19: all the latest information</w:t>
        </w:r>
      </w:hyperlink>
      <w:r w:rsidR="00843274">
        <w:rPr>
          <w:szCs w:val="22"/>
        </w:rPr>
        <w:t xml:space="preserve"> &gt; </w:t>
      </w:r>
      <w:hyperlink r:id="rId28" w:history="1">
        <w:r w:rsidR="00724B1F" w:rsidRPr="00724B1F">
          <w:rPr>
            <w:rStyle w:val="Hyperlink"/>
            <w:szCs w:val="22"/>
          </w:rPr>
          <w:t>Standard operating procedures and clinical guidelines</w:t>
        </w:r>
      </w:hyperlink>
      <w:r w:rsidR="00724B1F">
        <w:rPr>
          <w:szCs w:val="22"/>
        </w:rPr>
        <w:t xml:space="preserve"> &gt; </w:t>
      </w:r>
      <w:hyperlink r:id="rId29" w:history="1">
        <w:r w:rsidR="00724B1F">
          <w:rPr>
            <w:rStyle w:val="Hyperlink"/>
            <w:lang w:val="en"/>
          </w:rPr>
          <w:t>Caring for COVID-19 patients at death, handling and transporting to the mortuary</w:t>
        </w:r>
      </w:hyperlink>
      <w:r w:rsidRPr="00164FE2">
        <w:rPr>
          <w:rFonts w:cs="Arial"/>
          <w:szCs w:val="22"/>
        </w:rPr>
        <w:t xml:space="preserve">. This is an </w:t>
      </w:r>
      <w:r w:rsidR="00724B1F" w:rsidRPr="00164FE2">
        <w:rPr>
          <w:rFonts w:cs="Arial"/>
          <w:szCs w:val="22"/>
        </w:rPr>
        <w:t>integrated</w:t>
      </w:r>
      <w:r w:rsidRPr="00164FE2">
        <w:rPr>
          <w:rFonts w:cs="Arial"/>
          <w:szCs w:val="22"/>
        </w:rPr>
        <w:t xml:space="preserve"> document for York and Scarborough.</w:t>
      </w:r>
    </w:p>
    <w:p w:rsidR="00060517" w:rsidRDefault="00060517" w:rsidP="00060517">
      <w:pPr>
        <w:pStyle w:val="ListParagraph"/>
        <w:jc w:val="both"/>
      </w:pPr>
    </w:p>
    <w:p w:rsidR="00060517" w:rsidRDefault="00060517" w:rsidP="00060517">
      <w:pPr>
        <w:pStyle w:val="ListParagraph"/>
        <w:jc w:val="both"/>
      </w:pPr>
    </w:p>
    <w:p w:rsidR="00EB36FC" w:rsidRPr="004D246C" w:rsidRDefault="00EB36FC" w:rsidP="00EB36FC"/>
    <w:p w:rsidR="00EB36FC" w:rsidRPr="004D246C" w:rsidRDefault="00EB36FC" w:rsidP="00EB36FC">
      <w:pPr>
        <w:ind w:left="284"/>
        <w:rPr>
          <w:b/>
        </w:rPr>
      </w:pPr>
      <w:bookmarkStart w:id="18" w:name="_Toc97026967"/>
      <w:bookmarkStart w:id="19" w:name="_Toc97027812"/>
      <w:bookmarkStart w:id="20" w:name="_Toc97028409"/>
      <w:bookmarkStart w:id="21" w:name="_Toc97028474"/>
      <w:bookmarkStart w:id="22" w:name="_Toc97092199"/>
      <w:bookmarkStart w:id="23" w:name="_Toc97092356"/>
      <w:bookmarkStart w:id="24" w:name="_Toc97092658"/>
      <w:r w:rsidRPr="004D246C">
        <w:rPr>
          <w:b/>
        </w:rPr>
        <w:br w:type="page"/>
      </w:r>
      <w:r w:rsidRPr="004D246C">
        <w:rPr>
          <w:b/>
        </w:rPr>
        <w:lastRenderedPageBreak/>
        <w:t xml:space="preserve">Appendix 1 </w:t>
      </w:r>
      <w:r w:rsidRPr="004D246C">
        <w:rPr>
          <w:b/>
        </w:rPr>
        <w:tab/>
      </w:r>
    </w:p>
    <w:p w:rsidR="00EB36FC" w:rsidRDefault="00EB36FC" w:rsidP="00EB36FC">
      <w:pPr>
        <w:ind w:left="284"/>
        <w:rPr>
          <w:b/>
          <w:bCs/>
        </w:rPr>
      </w:pPr>
      <w:bookmarkStart w:id="25" w:name="_Toc97026964"/>
      <w:bookmarkStart w:id="26" w:name="_Toc97027809"/>
      <w:bookmarkStart w:id="27" w:name="_Toc97028406"/>
      <w:bookmarkStart w:id="28" w:name="_Toc97092196"/>
      <w:bookmarkStart w:id="29" w:name="_Toc97092353"/>
      <w:bookmarkStart w:id="30" w:name="_Toc97092655"/>
      <w:bookmarkEnd w:id="18"/>
      <w:bookmarkEnd w:id="19"/>
      <w:bookmarkEnd w:id="20"/>
      <w:bookmarkEnd w:id="21"/>
      <w:bookmarkEnd w:id="22"/>
      <w:bookmarkEnd w:id="23"/>
      <w:bookmarkEnd w:id="24"/>
      <w:r w:rsidRPr="004D246C">
        <w:rPr>
          <w:b/>
          <w:bCs/>
        </w:rPr>
        <w:t>Transport of Specimens by Hospital Staff</w:t>
      </w:r>
      <w:bookmarkEnd w:id="25"/>
      <w:bookmarkEnd w:id="26"/>
      <w:bookmarkEnd w:id="27"/>
      <w:bookmarkEnd w:id="28"/>
      <w:bookmarkEnd w:id="29"/>
      <w:bookmarkEnd w:id="30"/>
    </w:p>
    <w:p w:rsidR="00EB36FC" w:rsidRPr="008324DE" w:rsidRDefault="00EB36FC" w:rsidP="00EB36FC">
      <w:pPr>
        <w:ind w:left="300"/>
        <w:rPr>
          <w:bCs/>
        </w:rPr>
      </w:pPr>
      <w:r w:rsidRPr="008324DE">
        <w:rPr>
          <w:bCs/>
        </w:rPr>
        <w:t>It is the responsibility of the sender taking the specimen to ensure that the request form and patient’s specimen are correctly and adequately labelled.</w:t>
      </w:r>
    </w:p>
    <w:p w:rsidR="00EB36FC" w:rsidRPr="008324DE" w:rsidRDefault="00EB36FC" w:rsidP="00EB36FC">
      <w:pPr>
        <w:ind w:left="300"/>
        <w:rPr>
          <w:bCs/>
          <w:lang w:val="en-US"/>
        </w:rPr>
      </w:pPr>
      <w:r w:rsidRPr="008324DE">
        <w:rPr>
          <w:bCs/>
          <w:lang w:val="en-US"/>
        </w:rPr>
        <w:t>Specimens must be submitted in a suitable specimen container, provided by the laboratory. Specimen containers should be plastic, wherever possible, and leak-proof. Containers must comply with British Standards BS ISO 6710:1995, BS 5213:1975.</w:t>
      </w:r>
    </w:p>
    <w:p w:rsidR="00EB36FC" w:rsidRPr="008324DE" w:rsidRDefault="00EB36FC" w:rsidP="00EB36FC">
      <w:pPr>
        <w:ind w:left="300"/>
        <w:rPr>
          <w:bCs/>
          <w:lang w:val="en-US"/>
        </w:rPr>
      </w:pPr>
      <w:r w:rsidRPr="008324DE">
        <w:rPr>
          <w:bCs/>
          <w:lang w:val="en-US"/>
        </w:rPr>
        <w:t>The sender must ensure that the specimen container is properly closed and is not contaminated on the outside. The specimen container must be labelled with:</w:t>
      </w:r>
    </w:p>
    <w:p w:rsidR="00EB36FC" w:rsidRPr="008324DE" w:rsidRDefault="00EB36FC" w:rsidP="00EB36FC">
      <w:pPr>
        <w:numPr>
          <w:ilvl w:val="0"/>
          <w:numId w:val="7"/>
        </w:numPr>
        <w:rPr>
          <w:bCs/>
          <w:lang w:val="en-US"/>
        </w:rPr>
      </w:pPr>
      <w:r w:rsidRPr="008324DE">
        <w:rPr>
          <w:bCs/>
          <w:lang w:val="en-US"/>
        </w:rPr>
        <w:t>Patient's surname, forename, D.O.B and/or unique identifier (normally the NHS Number)</w:t>
      </w:r>
    </w:p>
    <w:p w:rsidR="00EB36FC" w:rsidRPr="008324DE" w:rsidRDefault="00EB36FC" w:rsidP="00EB36FC">
      <w:pPr>
        <w:numPr>
          <w:ilvl w:val="0"/>
          <w:numId w:val="7"/>
        </w:numPr>
        <w:rPr>
          <w:bCs/>
          <w:lang w:val="en-US"/>
        </w:rPr>
      </w:pPr>
      <w:r w:rsidRPr="008324DE">
        <w:rPr>
          <w:bCs/>
          <w:lang w:val="en-US"/>
        </w:rPr>
        <w:t>Nature of the specimen</w:t>
      </w:r>
    </w:p>
    <w:p w:rsidR="00EB36FC" w:rsidRPr="008324DE" w:rsidRDefault="00EB36FC" w:rsidP="00EB36FC">
      <w:pPr>
        <w:numPr>
          <w:ilvl w:val="0"/>
          <w:numId w:val="7"/>
        </w:numPr>
        <w:rPr>
          <w:bCs/>
          <w:lang w:val="en-US"/>
        </w:rPr>
      </w:pPr>
      <w:r w:rsidRPr="008324DE">
        <w:rPr>
          <w:bCs/>
          <w:lang w:val="en-US"/>
        </w:rPr>
        <w:t>Time and date of collection</w:t>
      </w:r>
    </w:p>
    <w:p w:rsidR="00EB36FC" w:rsidRPr="008324DE" w:rsidRDefault="00EB36FC" w:rsidP="00EB36FC">
      <w:pPr>
        <w:numPr>
          <w:ilvl w:val="0"/>
          <w:numId w:val="7"/>
        </w:numPr>
        <w:rPr>
          <w:bCs/>
          <w:lang w:val="en-US"/>
        </w:rPr>
      </w:pPr>
      <w:r w:rsidRPr="008324DE">
        <w:rPr>
          <w:bCs/>
          <w:lang w:val="en-US"/>
        </w:rPr>
        <w:t>Specimen source e.g. ward or clinic</w:t>
      </w:r>
    </w:p>
    <w:p w:rsidR="00EB36FC" w:rsidRPr="008324DE" w:rsidRDefault="00EB36FC" w:rsidP="00EB36FC">
      <w:pPr>
        <w:ind w:left="300"/>
        <w:rPr>
          <w:bCs/>
          <w:lang w:val="en-US"/>
        </w:rPr>
      </w:pPr>
      <w:r w:rsidRPr="008324DE">
        <w:rPr>
          <w:bCs/>
          <w:lang w:val="en-US"/>
        </w:rPr>
        <w:t>The specimen must be accompanied by a suitably completed request form. This must include:</w:t>
      </w:r>
    </w:p>
    <w:p w:rsidR="00EB36FC" w:rsidRPr="008324DE" w:rsidRDefault="00EB36FC" w:rsidP="00EB36FC">
      <w:pPr>
        <w:numPr>
          <w:ilvl w:val="0"/>
          <w:numId w:val="8"/>
        </w:numPr>
        <w:rPr>
          <w:bCs/>
          <w:lang w:val="en-US"/>
        </w:rPr>
      </w:pPr>
      <w:r w:rsidRPr="008324DE">
        <w:rPr>
          <w:bCs/>
          <w:lang w:val="en-US"/>
        </w:rPr>
        <w:t>Patient's surname, forename and/or unique identifier (normally the NHS Number)</w:t>
      </w:r>
    </w:p>
    <w:p w:rsidR="00EB36FC" w:rsidRPr="008324DE" w:rsidRDefault="00EB36FC" w:rsidP="00EB36FC">
      <w:pPr>
        <w:numPr>
          <w:ilvl w:val="0"/>
          <w:numId w:val="8"/>
        </w:numPr>
        <w:rPr>
          <w:bCs/>
          <w:lang w:val="en-US"/>
        </w:rPr>
      </w:pPr>
      <w:r w:rsidRPr="008324DE">
        <w:rPr>
          <w:bCs/>
          <w:lang w:val="en-US"/>
        </w:rPr>
        <w:t>Patient date of birth</w:t>
      </w:r>
    </w:p>
    <w:p w:rsidR="00EB36FC" w:rsidRPr="008324DE" w:rsidRDefault="00EB36FC" w:rsidP="00EB36FC">
      <w:pPr>
        <w:numPr>
          <w:ilvl w:val="0"/>
          <w:numId w:val="8"/>
        </w:numPr>
        <w:rPr>
          <w:bCs/>
          <w:lang w:val="en-US"/>
        </w:rPr>
      </w:pPr>
      <w:r w:rsidRPr="008324DE">
        <w:rPr>
          <w:bCs/>
          <w:lang w:val="en-US"/>
        </w:rPr>
        <w:t>Nature and/or site of the specimen</w:t>
      </w:r>
    </w:p>
    <w:p w:rsidR="00EB36FC" w:rsidRPr="008324DE" w:rsidRDefault="00EB36FC" w:rsidP="00EB36FC">
      <w:pPr>
        <w:numPr>
          <w:ilvl w:val="0"/>
          <w:numId w:val="8"/>
        </w:numPr>
        <w:rPr>
          <w:bCs/>
          <w:lang w:val="en-US"/>
        </w:rPr>
      </w:pPr>
      <w:r w:rsidRPr="008324DE">
        <w:rPr>
          <w:bCs/>
          <w:lang w:val="en-US"/>
        </w:rPr>
        <w:t>Time and date of collection</w:t>
      </w:r>
    </w:p>
    <w:p w:rsidR="00EB36FC" w:rsidRPr="008324DE" w:rsidRDefault="00EB36FC" w:rsidP="00EB36FC">
      <w:pPr>
        <w:numPr>
          <w:ilvl w:val="0"/>
          <w:numId w:val="8"/>
        </w:numPr>
        <w:rPr>
          <w:bCs/>
          <w:lang w:val="en-US"/>
        </w:rPr>
      </w:pPr>
      <w:r w:rsidRPr="008324DE">
        <w:rPr>
          <w:bCs/>
          <w:lang w:val="en-US"/>
        </w:rPr>
        <w:t>Specimen source e.g. ward or clinic</w:t>
      </w:r>
    </w:p>
    <w:p w:rsidR="00EB36FC" w:rsidRPr="008324DE" w:rsidRDefault="00EB36FC" w:rsidP="00EB36FC">
      <w:pPr>
        <w:numPr>
          <w:ilvl w:val="0"/>
          <w:numId w:val="8"/>
        </w:numPr>
        <w:rPr>
          <w:bCs/>
          <w:lang w:val="en-US"/>
        </w:rPr>
      </w:pPr>
      <w:r w:rsidRPr="008324DE">
        <w:rPr>
          <w:bCs/>
          <w:lang w:val="en-US"/>
        </w:rPr>
        <w:t>Requesting consultant or approved authority and their location</w:t>
      </w:r>
    </w:p>
    <w:p w:rsidR="00EB36FC" w:rsidRPr="008324DE" w:rsidRDefault="00EB36FC" w:rsidP="00EB36FC">
      <w:pPr>
        <w:numPr>
          <w:ilvl w:val="0"/>
          <w:numId w:val="8"/>
        </w:numPr>
        <w:rPr>
          <w:bCs/>
          <w:lang w:val="en-US"/>
        </w:rPr>
      </w:pPr>
      <w:r w:rsidRPr="008324DE">
        <w:rPr>
          <w:bCs/>
          <w:lang w:val="en-US"/>
        </w:rPr>
        <w:t>Test request</w:t>
      </w:r>
    </w:p>
    <w:p w:rsidR="00EB36FC" w:rsidRPr="008324DE" w:rsidRDefault="00EB36FC" w:rsidP="00EB36FC">
      <w:pPr>
        <w:numPr>
          <w:ilvl w:val="0"/>
          <w:numId w:val="8"/>
        </w:numPr>
        <w:rPr>
          <w:bCs/>
          <w:lang w:val="en-US"/>
        </w:rPr>
      </w:pPr>
      <w:r w:rsidRPr="008324DE">
        <w:rPr>
          <w:bCs/>
          <w:lang w:val="en-US"/>
        </w:rPr>
        <w:t>And, where information is available, the following information must also be included on the request form</w:t>
      </w:r>
    </w:p>
    <w:p w:rsidR="00EB36FC" w:rsidRPr="008324DE" w:rsidRDefault="00EB36FC" w:rsidP="00EB36FC">
      <w:pPr>
        <w:numPr>
          <w:ilvl w:val="0"/>
          <w:numId w:val="8"/>
        </w:numPr>
        <w:rPr>
          <w:bCs/>
          <w:lang w:val="en-US"/>
        </w:rPr>
      </w:pPr>
      <w:r w:rsidRPr="008324DE">
        <w:rPr>
          <w:bCs/>
          <w:lang w:val="en-US"/>
        </w:rPr>
        <w:t>Relevant clinical information</w:t>
      </w:r>
    </w:p>
    <w:p w:rsidR="00EB36FC" w:rsidRPr="008324DE" w:rsidRDefault="00EB36FC" w:rsidP="00EB36FC">
      <w:pPr>
        <w:numPr>
          <w:ilvl w:val="0"/>
          <w:numId w:val="8"/>
        </w:numPr>
        <w:rPr>
          <w:bCs/>
          <w:lang w:val="en-US"/>
        </w:rPr>
      </w:pPr>
      <w:r w:rsidRPr="008324DE">
        <w:rPr>
          <w:bCs/>
          <w:lang w:val="en-US"/>
        </w:rPr>
        <w:t>Location for results to be sent if different from requester’s location</w:t>
      </w:r>
    </w:p>
    <w:p w:rsidR="00EB36FC" w:rsidRDefault="00EB36FC" w:rsidP="00EB36FC">
      <w:pPr>
        <w:numPr>
          <w:ilvl w:val="0"/>
          <w:numId w:val="8"/>
        </w:numPr>
        <w:rPr>
          <w:bCs/>
          <w:lang w:val="en-US"/>
        </w:rPr>
      </w:pPr>
      <w:r w:rsidRPr="008324DE">
        <w:rPr>
          <w:bCs/>
          <w:lang w:val="en-US"/>
        </w:rPr>
        <w:t xml:space="preserve">Priority status </w:t>
      </w:r>
    </w:p>
    <w:p w:rsidR="00EB36FC" w:rsidRPr="008324DE" w:rsidRDefault="00EB36FC" w:rsidP="00EB36FC">
      <w:pPr>
        <w:ind w:left="720"/>
        <w:rPr>
          <w:bCs/>
          <w:lang w:val="en-US"/>
        </w:rPr>
      </w:pPr>
    </w:p>
    <w:p w:rsidR="00EB36FC" w:rsidRPr="008324DE" w:rsidRDefault="00EB36FC" w:rsidP="00EB36FC">
      <w:pPr>
        <w:ind w:left="375"/>
        <w:rPr>
          <w:bCs/>
          <w:u w:val="single"/>
          <w:lang w:val="en-US"/>
        </w:rPr>
      </w:pPr>
      <w:r w:rsidRPr="008324DE">
        <w:rPr>
          <w:bCs/>
          <w:lang w:val="en-US"/>
        </w:rPr>
        <w:t>The primary specimen container</w:t>
      </w:r>
      <w:r>
        <w:rPr>
          <w:bCs/>
          <w:lang w:val="en-US"/>
        </w:rPr>
        <w:t xml:space="preserve"> must be placed in a</w:t>
      </w:r>
      <w:r w:rsidRPr="008324DE">
        <w:rPr>
          <w:bCs/>
          <w:lang w:val="en-US"/>
        </w:rPr>
        <w:t xml:space="preserve"> </w:t>
      </w:r>
      <w:r>
        <w:rPr>
          <w:bCs/>
          <w:lang w:val="en-US"/>
        </w:rPr>
        <w:t xml:space="preserve">transparent </w:t>
      </w:r>
      <w:r w:rsidRPr="008324DE">
        <w:rPr>
          <w:bCs/>
          <w:lang w:val="en-US"/>
        </w:rPr>
        <w:t xml:space="preserve">plastic transport bag and sealed, either by an integral sealing strip, or by other suitable means to enable opening without using sharp-pointed instruments. Bags MUST NOT be sealed with pins, staples or metal clips as they may cause injury and may affect the integrity of the bag. </w:t>
      </w:r>
    </w:p>
    <w:p w:rsidR="00EB36FC" w:rsidRPr="008324DE" w:rsidRDefault="00EB36FC" w:rsidP="00EB36FC">
      <w:pPr>
        <w:ind w:left="375"/>
        <w:rPr>
          <w:bCs/>
          <w:lang w:val="en-US"/>
        </w:rPr>
      </w:pPr>
      <w:r w:rsidRPr="008324DE">
        <w:rPr>
          <w:bCs/>
          <w:lang w:val="en-US"/>
        </w:rPr>
        <w:t>Either the specimen bag and/or the request form should display the “Biohazard” symbol.</w:t>
      </w:r>
    </w:p>
    <w:p w:rsidR="00EB36FC" w:rsidRPr="008324DE" w:rsidRDefault="00EB36FC" w:rsidP="00EB36FC">
      <w:pPr>
        <w:ind w:left="375"/>
        <w:rPr>
          <w:bCs/>
          <w:lang w:val="en-US"/>
        </w:rPr>
      </w:pPr>
      <w:r w:rsidRPr="008324DE">
        <w:rPr>
          <w:bCs/>
          <w:lang w:val="en-US"/>
        </w:rPr>
        <w:t>The request form must NOT be put in the bag with the specimen.  York Teaching Hospital NHS Foundation Trust laboratory medicine request forms (including those used for Order Comms requests) have an integrated sealable plastic bag for the specimen. However, in the absence of these request forms a plastic bag with a side pocket can accommodate the completed request form.</w:t>
      </w:r>
    </w:p>
    <w:p w:rsidR="00EB36FC" w:rsidRPr="008324DE" w:rsidRDefault="00EB36FC" w:rsidP="00EB36FC">
      <w:pPr>
        <w:ind w:left="375"/>
        <w:rPr>
          <w:bCs/>
          <w:lang w:val="en-US"/>
        </w:rPr>
      </w:pPr>
      <w:r w:rsidRPr="008324DE">
        <w:rPr>
          <w:bCs/>
          <w:lang w:val="en-US"/>
        </w:rPr>
        <w:lastRenderedPageBreak/>
        <w:t xml:space="preserve">In the case of large specimens, such as certain histopathology specimens or 24-hour urine containers, the primary receptacle may be placed in clear plastic sacks and sealed at the neck to prevent leakage. The request form must be securely taped to the neck of the sack in such a way that it can be processed within the laboratory without damaging or defacing the request form. Staples, pins and metal clips must NOT be used. </w:t>
      </w:r>
    </w:p>
    <w:p w:rsidR="00EB36FC" w:rsidRPr="008324DE" w:rsidRDefault="00EB36FC" w:rsidP="00EB36FC">
      <w:pPr>
        <w:ind w:left="375"/>
        <w:rPr>
          <w:b/>
          <w:bCs/>
          <w:lang w:val="en-US"/>
        </w:rPr>
      </w:pPr>
      <w:r w:rsidRPr="008324DE">
        <w:rPr>
          <w:b/>
          <w:bCs/>
          <w:lang w:val="en-US"/>
        </w:rPr>
        <w:t xml:space="preserve">Under no circumstances should anyone transport specimen containers in their hands or pockets. </w:t>
      </w:r>
    </w:p>
    <w:p w:rsidR="00EB36FC" w:rsidRPr="008324DE" w:rsidRDefault="00EB36FC" w:rsidP="00EB36FC">
      <w:pPr>
        <w:ind w:left="360"/>
        <w:rPr>
          <w:bCs/>
          <w:lang w:val="en-US"/>
        </w:rPr>
      </w:pPr>
      <w:r w:rsidRPr="008324DE">
        <w:rPr>
          <w:bCs/>
          <w:lang w:val="en-US"/>
        </w:rPr>
        <w:t xml:space="preserve">Specimens must be transported to the laboratory in the supplied diagnostic specimen sample transport carrier bags except for those samples from Theatres which are transported in a lockable metal tin. </w:t>
      </w:r>
    </w:p>
    <w:p w:rsidR="00EB36FC" w:rsidRPr="008324DE" w:rsidRDefault="00EB36FC" w:rsidP="00EB36FC">
      <w:pPr>
        <w:ind w:left="360"/>
        <w:rPr>
          <w:bCs/>
          <w:lang w:val="en-US"/>
        </w:rPr>
      </w:pPr>
      <w:r w:rsidRPr="008324DE">
        <w:rPr>
          <w:bCs/>
          <w:lang w:val="en-US"/>
        </w:rPr>
        <w:t xml:space="preserve">Diagnostic specimen transport carrier bags are sealable, opaque plastic bags to be used for the transport of all samples from within the hospital. They are reusable provided no contamination has occurred. </w:t>
      </w:r>
    </w:p>
    <w:p w:rsidR="00EB36FC" w:rsidRPr="008324DE" w:rsidRDefault="00EB36FC" w:rsidP="00EB36FC">
      <w:pPr>
        <w:numPr>
          <w:ilvl w:val="0"/>
          <w:numId w:val="9"/>
        </w:numPr>
        <w:rPr>
          <w:bCs/>
          <w:lang w:val="en-US"/>
        </w:rPr>
      </w:pPr>
      <w:r w:rsidRPr="008324DE">
        <w:rPr>
          <w:bCs/>
          <w:lang w:val="en-US"/>
        </w:rPr>
        <w:t>Metal specimen carriers must be disinfected weekly with 1% hypochlorite solution and whenever contaminated.</w:t>
      </w:r>
    </w:p>
    <w:p w:rsidR="00EB36FC" w:rsidRPr="008324DE" w:rsidRDefault="00EB36FC" w:rsidP="00EB36FC">
      <w:pPr>
        <w:numPr>
          <w:ilvl w:val="0"/>
          <w:numId w:val="9"/>
        </w:numPr>
        <w:rPr>
          <w:bCs/>
          <w:lang w:val="en-US"/>
        </w:rPr>
      </w:pPr>
      <w:r w:rsidRPr="008324DE">
        <w:rPr>
          <w:bCs/>
          <w:lang w:val="en-US"/>
        </w:rPr>
        <w:t>Specimen carriers must NOT be used for any other purpose.</w:t>
      </w:r>
    </w:p>
    <w:p w:rsidR="00EB36FC" w:rsidRPr="008324DE" w:rsidRDefault="00EB36FC" w:rsidP="00EB36FC">
      <w:pPr>
        <w:ind w:left="360"/>
        <w:rPr>
          <w:bCs/>
        </w:rPr>
      </w:pPr>
      <w:r w:rsidRPr="008324DE">
        <w:rPr>
          <w:bCs/>
        </w:rPr>
        <w:t>This route can be used to safely transport high-risk specimens</w:t>
      </w:r>
      <w:r>
        <w:rPr>
          <w:bCs/>
        </w:rPr>
        <w:t>.</w:t>
      </w:r>
    </w:p>
    <w:p w:rsidR="00EB36FC" w:rsidRPr="004D246C" w:rsidRDefault="00EB36FC" w:rsidP="00EB36FC">
      <w:r w:rsidRPr="004D246C">
        <w:t xml:space="preserve"> </w:t>
      </w:r>
    </w:p>
    <w:p w:rsidR="00EB36FC" w:rsidRPr="009A3A58" w:rsidRDefault="00EB36FC" w:rsidP="00EB36FC"/>
    <w:p w:rsidR="000E7358" w:rsidRPr="00DD2228" w:rsidRDefault="000E7358" w:rsidP="00EB36FC">
      <w:pPr>
        <w:pStyle w:val="Heading1"/>
        <w:numPr>
          <w:ilvl w:val="0"/>
          <w:numId w:val="0"/>
        </w:numPr>
        <w:ind w:left="432"/>
        <w:rPr>
          <w:sz w:val="8"/>
          <w:szCs w:val="8"/>
        </w:rPr>
      </w:pPr>
    </w:p>
    <w:sectPr w:rsidR="000E7358" w:rsidRPr="00DD2228" w:rsidSect="004A658E">
      <w:type w:val="continuous"/>
      <w:pgSz w:w="11906" w:h="16838" w:code="9"/>
      <w:pgMar w:top="1191" w:right="1134" w:bottom="1191" w:left="1134" w:header="283" w:footer="720"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681" w:rsidRDefault="00860681">
      <w:r>
        <w:separator/>
      </w:r>
    </w:p>
  </w:endnote>
  <w:endnote w:type="continuationSeparator" w:id="0">
    <w:p w:rsidR="00860681" w:rsidRDefault="0086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681" w:rsidRDefault="00860681">
      <w:r>
        <w:separator/>
      </w:r>
    </w:p>
  </w:footnote>
  <w:footnote w:type="continuationSeparator" w:id="0">
    <w:p w:rsidR="00860681" w:rsidRDefault="0086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BA4840" w:rsidTr="007711E7">
      <w:trPr>
        <w:trHeight w:val="2189"/>
        <w:tblHeader/>
      </w:trPr>
      <w:tc>
        <w:tcPr>
          <w:tcW w:w="10206" w:type="dxa"/>
          <w:shd w:val="pct5" w:color="auto" w:fill="FFFFFF"/>
        </w:tcPr>
        <w:p w:rsidR="00BA4840" w:rsidRPr="004B2412" w:rsidRDefault="00EB36FC" w:rsidP="007711E7">
          <w:pPr>
            <w:pStyle w:val="Header"/>
            <w:tabs>
              <w:tab w:val="clear" w:pos="8306"/>
              <w:tab w:val="right" w:pos="9531"/>
            </w:tabs>
            <w:spacing w:before="120" w:after="40"/>
            <w:rPr>
              <w:rFonts w:cs="Arial"/>
              <w:bCs/>
              <w:color w:val="000000"/>
              <w:sz w:val="20"/>
            </w:rPr>
          </w:pPr>
          <w:r>
            <w:rPr>
              <w:noProof/>
              <w:lang w:eastAsia="en-GB"/>
            </w:rPr>
            <w:drawing>
              <wp:anchor distT="0" distB="0" distL="114300" distR="114300" simplePos="0" relativeHeight="251657728" behindDoc="0" locked="0" layoutInCell="1" allowOverlap="1">
                <wp:simplePos x="0" y="0"/>
                <wp:positionH relativeFrom="margin">
                  <wp:align>right</wp:align>
                </wp:positionH>
                <wp:positionV relativeFrom="margin">
                  <wp:align>top</wp:align>
                </wp:positionV>
                <wp:extent cx="2122170" cy="733425"/>
                <wp:effectExtent l="0" t="0" r="0" b="9525"/>
                <wp:wrapNone/>
                <wp:docPr id="4" name="Picture 4" descr="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u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733425"/>
                        </a:xfrm>
                        <a:prstGeom prst="rect">
                          <a:avLst/>
                        </a:prstGeom>
                        <a:noFill/>
                      </pic:spPr>
                    </pic:pic>
                  </a:graphicData>
                </a:graphic>
                <wp14:sizeRelH relativeFrom="page">
                  <wp14:pctWidth>0</wp14:pctWidth>
                </wp14:sizeRelH>
                <wp14:sizeRelV relativeFrom="page">
                  <wp14:pctHeight>0</wp14:pctHeight>
                </wp14:sizeRelV>
              </wp:anchor>
            </w:drawing>
          </w:r>
          <w:r w:rsidR="00F163D6">
            <w:rPr>
              <w:rFonts w:cs="Arial"/>
              <w:bCs/>
              <w:color w:val="000000"/>
              <w:sz w:val="20"/>
            </w:rPr>
            <w:t xml:space="preserve">  Speciality: </w:t>
          </w:r>
          <w:r w:rsidR="00BA4840" w:rsidRPr="004B2412">
            <w:rPr>
              <w:rFonts w:cs="Arial"/>
              <w:bCs/>
              <w:color w:val="000000"/>
              <w:sz w:val="20"/>
            </w:rPr>
            <w:t>Laboratory Medicine</w:t>
          </w:r>
          <w:r w:rsidR="002F03F6">
            <w:rPr>
              <w:rFonts w:cs="Arial"/>
              <w:bCs/>
              <w:color w:val="000000"/>
              <w:sz w:val="20"/>
            </w:rPr>
            <w:t xml:space="preserve">           </w:t>
          </w:r>
          <w:r w:rsidR="006F04E6">
            <w:rPr>
              <w:rFonts w:cs="Arial"/>
              <w:bCs/>
              <w:color w:val="000000"/>
              <w:sz w:val="20"/>
            </w:rPr>
            <w:t xml:space="preserve">     </w:t>
          </w:r>
          <w:r w:rsidR="002F03F6">
            <w:rPr>
              <w:rFonts w:cs="Arial"/>
              <w:bCs/>
              <w:color w:val="000000"/>
              <w:sz w:val="20"/>
            </w:rPr>
            <w:t xml:space="preserve">        </w:t>
          </w:r>
          <w:r w:rsidR="006F04E6">
            <w:rPr>
              <w:rFonts w:cs="Arial"/>
              <w:bCs/>
              <w:color w:val="000000"/>
              <w:sz w:val="20"/>
            </w:rPr>
            <w:t xml:space="preserve">                                           </w:t>
          </w:r>
          <w:r w:rsidR="002F03F6">
            <w:rPr>
              <w:rFonts w:cs="Arial"/>
              <w:bCs/>
              <w:color w:val="000000"/>
              <w:sz w:val="20"/>
            </w:rPr>
            <w:t xml:space="preserve">       </w:t>
          </w:r>
          <w:r w:rsidR="006F04E6">
            <w:rPr>
              <w:rFonts w:cs="Arial"/>
              <w:bCs/>
              <w:color w:val="000000"/>
              <w:sz w:val="20"/>
            </w:rPr>
            <w:t xml:space="preserve">                         </w:t>
          </w:r>
          <w:r w:rsidR="002F03F6">
            <w:rPr>
              <w:rFonts w:cs="Arial"/>
              <w:bCs/>
              <w:color w:val="000000"/>
              <w:sz w:val="20"/>
            </w:rPr>
            <w:t xml:space="preserve">              </w:t>
          </w:r>
          <w:r w:rsidR="007711E7">
            <w:rPr>
              <w:rFonts w:cs="Arial"/>
              <w:bCs/>
              <w:color w:val="000000"/>
              <w:sz w:val="20"/>
            </w:rPr>
            <w:t xml:space="preserve">          </w:t>
          </w:r>
          <w:r w:rsidR="002F03F6">
            <w:rPr>
              <w:rFonts w:cs="Arial"/>
              <w:bCs/>
              <w:color w:val="000000"/>
              <w:sz w:val="20"/>
            </w:rPr>
            <w:t xml:space="preserve">  </w:t>
          </w:r>
        </w:p>
        <w:p w:rsidR="00BA4840" w:rsidRDefault="00F163D6" w:rsidP="00C7143A">
          <w:pPr>
            <w:pStyle w:val="Header"/>
            <w:spacing w:before="40" w:after="40"/>
            <w:ind w:left="117"/>
            <w:rPr>
              <w:rFonts w:cs="Arial"/>
              <w:color w:val="548DD4"/>
              <w:sz w:val="20"/>
            </w:rPr>
          </w:pPr>
          <w:r>
            <w:rPr>
              <w:rFonts w:cs="Arial"/>
              <w:bCs/>
              <w:color w:val="000000"/>
              <w:sz w:val="20"/>
            </w:rPr>
            <w:t>Location</w:t>
          </w:r>
          <w:r w:rsidR="00BA4840">
            <w:rPr>
              <w:rFonts w:cs="Arial"/>
              <w:bCs/>
              <w:color w:val="000000"/>
              <w:sz w:val="20"/>
            </w:rPr>
            <w:t xml:space="preserve">: </w:t>
          </w:r>
          <w:r w:rsidR="00EB36FC">
            <w:rPr>
              <w:rFonts w:cs="Arial"/>
              <w:bCs/>
              <w:color w:val="000000"/>
              <w:sz w:val="20"/>
            </w:rPr>
            <w:t>Electronic copy also available on Trust Staff Room</w:t>
          </w:r>
        </w:p>
        <w:p w:rsidR="00BA4840" w:rsidRDefault="00BA4840" w:rsidP="00C7143A">
          <w:pPr>
            <w:pStyle w:val="Header"/>
            <w:spacing w:before="40" w:after="40"/>
            <w:ind w:left="117"/>
            <w:rPr>
              <w:rFonts w:cs="Arial"/>
              <w:color w:val="548DD4"/>
              <w:sz w:val="20"/>
            </w:rPr>
          </w:pPr>
          <w:r>
            <w:rPr>
              <w:rFonts w:cs="Arial"/>
              <w:bCs/>
              <w:sz w:val="20"/>
            </w:rPr>
            <w:t>F</w:t>
          </w:r>
          <w:r w:rsidRPr="004B2412">
            <w:rPr>
              <w:rFonts w:cs="Arial"/>
              <w:bCs/>
              <w:sz w:val="20"/>
            </w:rPr>
            <w:t>ilename</w:t>
          </w:r>
          <w:r>
            <w:rPr>
              <w:rFonts w:cs="Arial"/>
              <w:bCs/>
              <w:sz w:val="20"/>
            </w:rPr>
            <w:t>:</w:t>
          </w:r>
          <w:r>
            <w:t xml:space="preserve"> </w:t>
          </w:r>
          <w:r w:rsidR="00EB36FC">
            <w:rPr>
              <w:rFonts w:cs="Arial"/>
              <w:bCs/>
              <w:sz w:val="20"/>
            </w:rPr>
            <w:t>LM-POL-MR PORTRS</w:t>
          </w:r>
        </w:p>
        <w:p w:rsidR="00BA4840" w:rsidRPr="004B2412" w:rsidRDefault="002C5007" w:rsidP="00BA4840">
          <w:pPr>
            <w:pStyle w:val="Header"/>
            <w:tabs>
              <w:tab w:val="clear" w:pos="4153"/>
              <w:tab w:val="center" w:pos="9459"/>
            </w:tabs>
            <w:spacing w:before="40" w:after="40"/>
            <w:ind w:left="117"/>
            <w:rPr>
              <w:rFonts w:cs="Arial"/>
              <w:bCs/>
              <w:color w:val="000000"/>
              <w:sz w:val="20"/>
            </w:rPr>
          </w:pPr>
          <w:r>
            <w:rPr>
              <w:rFonts w:cs="Arial"/>
              <w:bCs/>
              <w:sz w:val="20"/>
            </w:rPr>
            <w:t xml:space="preserve">Version: </w:t>
          </w:r>
          <w:r w:rsidR="00EB36FC">
            <w:rPr>
              <w:rFonts w:cs="Arial"/>
              <w:bCs/>
              <w:sz w:val="20"/>
            </w:rPr>
            <w:t>8.0</w:t>
          </w:r>
        </w:p>
        <w:p w:rsidR="00BA4840" w:rsidRPr="004B2412" w:rsidRDefault="00BA4840" w:rsidP="008C06B7">
          <w:pPr>
            <w:pStyle w:val="Header"/>
            <w:spacing w:before="40" w:after="40"/>
            <w:ind w:left="117"/>
            <w:rPr>
              <w:rFonts w:cs="Arial"/>
              <w:bCs/>
              <w:sz w:val="20"/>
            </w:rPr>
          </w:pPr>
          <w:r>
            <w:rPr>
              <w:rFonts w:cs="Arial"/>
              <w:bCs/>
              <w:sz w:val="20"/>
            </w:rPr>
            <w:t>Date of Issue:</w:t>
          </w:r>
          <w:r w:rsidR="00EB36FC">
            <w:rPr>
              <w:rFonts w:cs="Arial"/>
              <w:bCs/>
              <w:sz w:val="20"/>
            </w:rPr>
            <w:t xml:space="preserve"> January 2021</w:t>
          </w:r>
        </w:p>
        <w:p w:rsidR="002F03F6" w:rsidRDefault="004A658E" w:rsidP="002F03F6">
          <w:pPr>
            <w:pStyle w:val="Header"/>
            <w:spacing w:before="40" w:after="40"/>
            <w:rPr>
              <w:rFonts w:cs="Arial"/>
              <w:color w:val="548DD4"/>
              <w:sz w:val="20"/>
            </w:rPr>
          </w:pPr>
          <w:r>
            <w:rPr>
              <w:rFonts w:cs="Arial"/>
              <w:bCs/>
              <w:snapToGrid w:val="0"/>
              <w:sz w:val="20"/>
            </w:rPr>
            <w:t xml:space="preserve">  </w:t>
          </w:r>
          <w:r w:rsidR="00BA4840">
            <w:rPr>
              <w:rFonts w:cs="Arial"/>
              <w:bCs/>
              <w:snapToGrid w:val="0"/>
              <w:sz w:val="20"/>
            </w:rPr>
            <w:t xml:space="preserve">Title: </w:t>
          </w:r>
          <w:r w:rsidR="00EB36FC">
            <w:rPr>
              <w:rFonts w:cs="Arial"/>
              <w:bCs/>
              <w:sz w:val="20"/>
            </w:rPr>
            <w:t>Model Rules for Portering Staff Handling Specimens for Laboratory Medicine</w:t>
          </w:r>
        </w:p>
        <w:p w:rsidR="004A658E" w:rsidRPr="004B2412" w:rsidRDefault="004A658E" w:rsidP="00DB61C2">
          <w:pPr>
            <w:pStyle w:val="Header"/>
            <w:spacing w:before="40" w:after="40"/>
            <w:ind w:left="117"/>
            <w:jc w:val="right"/>
            <w:rPr>
              <w:rFonts w:cs="Arial"/>
              <w:bCs/>
              <w:sz w:val="20"/>
            </w:rPr>
          </w:pPr>
          <w:r w:rsidRPr="004B2412">
            <w:rPr>
              <w:rFonts w:cs="Arial"/>
              <w:bCs/>
              <w:snapToGrid w:val="0"/>
              <w:sz w:val="20"/>
            </w:rPr>
            <w:t xml:space="preserve">Page </w:t>
          </w:r>
          <w:r w:rsidRPr="004B2412">
            <w:rPr>
              <w:rFonts w:cs="Arial"/>
              <w:bCs/>
              <w:snapToGrid w:val="0"/>
              <w:sz w:val="20"/>
            </w:rPr>
            <w:fldChar w:fldCharType="begin"/>
          </w:r>
          <w:r w:rsidRPr="004B2412">
            <w:rPr>
              <w:rFonts w:cs="Arial"/>
              <w:bCs/>
              <w:snapToGrid w:val="0"/>
              <w:sz w:val="20"/>
            </w:rPr>
            <w:instrText xml:space="preserve"> PAGE  \* MERGEFORMAT </w:instrText>
          </w:r>
          <w:r w:rsidRPr="004B2412">
            <w:rPr>
              <w:rFonts w:cs="Arial"/>
              <w:bCs/>
              <w:snapToGrid w:val="0"/>
              <w:sz w:val="20"/>
            </w:rPr>
            <w:fldChar w:fldCharType="separate"/>
          </w:r>
          <w:r w:rsidR="00E93485">
            <w:rPr>
              <w:rFonts w:cs="Arial"/>
              <w:bCs/>
              <w:noProof/>
              <w:snapToGrid w:val="0"/>
              <w:sz w:val="20"/>
            </w:rPr>
            <w:t>1</w:t>
          </w:r>
          <w:r w:rsidRPr="004B2412">
            <w:rPr>
              <w:rFonts w:cs="Arial"/>
              <w:bCs/>
              <w:snapToGrid w:val="0"/>
              <w:sz w:val="20"/>
            </w:rPr>
            <w:fldChar w:fldCharType="end"/>
          </w:r>
          <w:r w:rsidRPr="004B2412">
            <w:rPr>
              <w:rFonts w:cs="Arial"/>
              <w:bCs/>
              <w:snapToGrid w:val="0"/>
              <w:sz w:val="20"/>
            </w:rPr>
            <w:t xml:space="preserve"> of </w:t>
          </w:r>
          <w:r w:rsidRPr="004B2412">
            <w:rPr>
              <w:rFonts w:cs="Arial"/>
              <w:bCs/>
              <w:snapToGrid w:val="0"/>
              <w:sz w:val="20"/>
            </w:rPr>
            <w:fldChar w:fldCharType="begin"/>
          </w:r>
          <w:r w:rsidRPr="004B2412">
            <w:rPr>
              <w:rFonts w:cs="Arial"/>
              <w:bCs/>
              <w:snapToGrid w:val="0"/>
              <w:sz w:val="20"/>
            </w:rPr>
            <w:instrText xml:space="preserve"> NUMPAGES  \* MERGEFORMAT </w:instrText>
          </w:r>
          <w:r w:rsidRPr="004B2412">
            <w:rPr>
              <w:rFonts w:cs="Arial"/>
              <w:bCs/>
              <w:snapToGrid w:val="0"/>
              <w:sz w:val="20"/>
            </w:rPr>
            <w:fldChar w:fldCharType="separate"/>
          </w:r>
          <w:r w:rsidR="00E93485">
            <w:rPr>
              <w:rFonts w:cs="Arial"/>
              <w:bCs/>
              <w:noProof/>
              <w:snapToGrid w:val="0"/>
              <w:sz w:val="20"/>
            </w:rPr>
            <w:t>8</w:t>
          </w:r>
          <w:r w:rsidRPr="004B2412">
            <w:rPr>
              <w:rFonts w:cs="Arial"/>
              <w:bCs/>
              <w:snapToGrid w:val="0"/>
              <w:sz w:val="20"/>
            </w:rPr>
            <w:fldChar w:fldCharType="end"/>
          </w:r>
        </w:p>
      </w:tc>
    </w:tr>
  </w:tbl>
  <w:p w:rsidR="00BA4840" w:rsidRDefault="00BA4840" w:rsidP="004A6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C31"/>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1">
    <w:nsid w:val="04FF652B"/>
    <w:multiLevelType w:val="hybridMultilevel"/>
    <w:tmpl w:val="820CA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F61B1"/>
    <w:multiLevelType w:val="hybridMultilevel"/>
    <w:tmpl w:val="4064B8BC"/>
    <w:lvl w:ilvl="0" w:tplc="04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nsid w:val="19806E94"/>
    <w:multiLevelType w:val="singleLevel"/>
    <w:tmpl w:val="AFC823FA"/>
    <w:lvl w:ilvl="0">
      <w:start w:val="1"/>
      <w:numFmt w:val="bullet"/>
      <w:pStyle w:val="References"/>
      <w:lvlText w:val=""/>
      <w:lvlJc w:val="left"/>
      <w:pPr>
        <w:tabs>
          <w:tab w:val="num" w:pos="530"/>
        </w:tabs>
        <w:ind w:left="510" w:hanging="340"/>
      </w:pPr>
      <w:rPr>
        <w:rFonts w:ascii="Symbol" w:hAnsi="Symbol" w:hint="default"/>
        <w:sz w:val="22"/>
      </w:rPr>
    </w:lvl>
  </w:abstractNum>
  <w:abstractNum w:abstractNumId="4">
    <w:nsid w:val="1C896139"/>
    <w:multiLevelType w:val="hybridMultilevel"/>
    <w:tmpl w:val="D70EB404"/>
    <w:lvl w:ilvl="0" w:tplc="627EFFD2">
      <w:start w:val="1"/>
      <w:numFmt w:val="decimal"/>
      <w:lvlText w:val="%1."/>
      <w:lvlJc w:val="left"/>
      <w:pPr>
        <w:tabs>
          <w:tab w:val="num" w:pos="720"/>
        </w:tabs>
        <w:ind w:left="720" w:hanging="360"/>
      </w:pPr>
      <w:rPr>
        <w:rFonts w:ascii="Times New Roman" w:hAnsi="Times New Roman" w:cs="Times New Roman"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7A4F9D"/>
    <w:multiLevelType w:val="hybridMultilevel"/>
    <w:tmpl w:val="1CE040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9FC57D7"/>
    <w:multiLevelType w:val="multilevel"/>
    <w:tmpl w:val="965017F0"/>
    <w:lvl w:ilvl="0">
      <w:start w:val="1"/>
      <w:numFmt w:val="decimal"/>
      <w:pStyle w:val="Heading1"/>
      <w:lvlText w:val="%1"/>
      <w:lvlJc w:val="left"/>
      <w:pPr>
        <w:tabs>
          <w:tab w:val="num" w:pos="432"/>
        </w:tabs>
        <w:ind w:left="432" w:hanging="432"/>
      </w:pPr>
      <w:rPr>
        <w:rFonts w:ascii="Arial" w:hAnsi="Arial" w:hint="default"/>
        <w:b/>
        <w:i w:val="0"/>
        <w:sz w:val="22"/>
        <w:szCs w:val="22"/>
      </w:rPr>
    </w:lvl>
    <w:lvl w:ilvl="1">
      <w:start w:val="1"/>
      <w:numFmt w:val="decimal"/>
      <w:pStyle w:val="Heading2"/>
      <w:lvlText w:val="%1.%2"/>
      <w:lvlJc w:val="left"/>
      <w:pPr>
        <w:tabs>
          <w:tab w:val="num" w:pos="860"/>
        </w:tabs>
        <w:ind w:left="860"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FE72417"/>
    <w:multiLevelType w:val="hybridMultilevel"/>
    <w:tmpl w:val="E44CC522"/>
    <w:lvl w:ilvl="0" w:tplc="33244FAA">
      <w:start w:val="7"/>
      <w:numFmt w:val="decimal"/>
      <w:lvlText w:val="%1"/>
      <w:lvlJc w:val="left"/>
      <w:pPr>
        <w:tabs>
          <w:tab w:val="num" w:pos="1080"/>
        </w:tabs>
        <w:ind w:left="1080" w:hanging="720"/>
      </w:pPr>
      <w:rPr>
        <w:rFonts w:cs="Times New Roman" w:hint="default"/>
      </w:rPr>
    </w:lvl>
    <w:lvl w:ilvl="1" w:tplc="ADDEA4BC">
      <w:numFmt w:val="none"/>
      <w:lvlText w:val=""/>
      <w:lvlJc w:val="left"/>
      <w:pPr>
        <w:tabs>
          <w:tab w:val="num" w:pos="360"/>
        </w:tabs>
      </w:pPr>
      <w:rPr>
        <w:rFonts w:cs="Times New Roman"/>
      </w:rPr>
    </w:lvl>
    <w:lvl w:ilvl="2" w:tplc="6A3CFFE4">
      <w:numFmt w:val="none"/>
      <w:lvlText w:val=""/>
      <w:lvlJc w:val="left"/>
      <w:pPr>
        <w:tabs>
          <w:tab w:val="num" w:pos="360"/>
        </w:tabs>
      </w:pPr>
      <w:rPr>
        <w:rFonts w:cs="Times New Roman"/>
      </w:rPr>
    </w:lvl>
    <w:lvl w:ilvl="3" w:tplc="6CB4A36E">
      <w:numFmt w:val="none"/>
      <w:lvlText w:val=""/>
      <w:lvlJc w:val="left"/>
      <w:pPr>
        <w:tabs>
          <w:tab w:val="num" w:pos="360"/>
        </w:tabs>
      </w:pPr>
      <w:rPr>
        <w:rFonts w:cs="Times New Roman"/>
      </w:rPr>
    </w:lvl>
    <w:lvl w:ilvl="4" w:tplc="5E8EE460">
      <w:numFmt w:val="none"/>
      <w:lvlText w:val=""/>
      <w:lvlJc w:val="left"/>
      <w:pPr>
        <w:tabs>
          <w:tab w:val="num" w:pos="360"/>
        </w:tabs>
      </w:pPr>
      <w:rPr>
        <w:rFonts w:cs="Times New Roman"/>
      </w:rPr>
    </w:lvl>
    <w:lvl w:ilvl="5" w:tplc="E30A9D2C">
      <w:numFmt w:val="none"/>
      <w:lvlText w:val=""/>
      <w:lvlJc w:val="left"/>
      <w:pPr>
        <w:tabs>
          <w:tab w:val="num" w:pos="360"/>
        </w:tabs>
      </w:pPr>
      <w:rPr>
        <w:rFonts w:cs="Times New Roman"/>
      </w:rPr>
    </w:lvl>
    <w:lvl w:ilvl="6" w:tplc="34783B1E">
      <w:numFmt w:val="none"/>
      <w:lvlText w:val=""/>
      <w:lvlJc w:val="left"/>
      <w:pPr>
        <w:tabs>
          <w:tab w:val="num" w:pos="360"/>
        </w:tabs>
      </w:pPr>
      <w:rPr>
        <w:rFonts w:cs="Times New Roman"/>
      </w:rPr>
    </w:lvl>
    <w:lvl w:ilvl="7" w:tplc="6CCC5744">
      <w:numFmt w:val="none"/>
      <w:lvlText w:val=""/>
      <w:lvlJc w:val="left"/>
      <w:pPr>
        <w:tabs>
          <w:tab w:val="num" w:pos="360"/>
        </w:tabs>
      </w:pPr>
      <w:rPr>
        <w:rFonts w:cs="Times New Roman"/>
      </w:rPr>
    </w:lvl>
    <w:lvl w:ilvl="8" w:tplc="3536CA2E">
      <w:numFmt w:val="none"/>
      <w:lvlText w:val=""/>
      <w:lvlJc w:val="left"/>
      <w:pPr>
        <w:tabs>
          <w:tab w:val="num" w:pos="360"/>
        </w:tabs>
      </w:pPr>
      <w:rPr>
        <w:rFonts w:cs="Times New Roman"/>
      </w:rPr>
    </w:lvl>
  </w:abstractNum>
  <w:abstractNum w:abstractNumId="8">
    <w:nsid w:val="59387994"/>
    <w:multiLevelType w:val="hybridMultilevel"/>
    <w:tmpl w:val="E22EB5C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5C1D1E61"/>
    <w:multiLevelType w:val="hybridMultilevel"/>
    <w:tmpl w:val="26DC4D82"/>
    <w:lvl w:ilvl="0" w:tplc="F9D63EBA">
      <w:start w:val="1"/>
      <w:numFmt w:val="bullet"/>
      <w:pStyle w:val="GBNormal"/>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71AA67DD"/>
    <w:multiLevelType w:val="hybridMultilevel"/>
    <w:tmpl w:val="900EF612"/>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72A452D0"/>
    <w:multiLevelType w:val="hybridMultilevel"/>
    <w:tmpl w:val="8EDE462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75464DB5"/>
    <w:multiLevelType w:val="hybridMultilevel"/>
    <w:tmpl w:val="BA04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9"/>
  </w:num>
  <w:num w:numId="5">
    <w:abstractNumId w:val="4"/>
  </w:num>
  <w:num w:numId="6">
    <w:abstractNumId w:val="1"/>
  </w:num>
  <w:num w:numId="7">
    <w:abstractNumId w:val="11"/>
  </w:num>
  <w:num w:numId="8">
    <w:abstractNumId w:val="8"/>
  </w:num>
  <w:num w:numId="9">
    <w:abstractNumId w:val="2"/>
  </w:num>
  <w:num w:numId="10">
    <w:abstractNumId w:val="10"/>
  </w:num>
  <w:num w:numId="11">
    <w:abstractNumId w:val="7"/>
  </w:num>
  <w:num w:numId="12">
    <w:abstractNumId w:val="5"/>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AC"/>
    <w:rsid w:val="000012D7"/>
    <w:rsid w:val="0002567E"/>
    <w:rsid w:val="00042173"/>
    <w:rsid w:val="00043259"/>
    <w:rsid w:val="00060517"/>
    <w:rsid w:val="000642FA"/>
    <w:rsid w:val="00067D34"/>
    <w:rsid w:val="000772FF"/>
    <w:rsid w:val="00093AEC"/>
    <w:rsid w:val="000A5105"/>
    <w:rsid w:val="000A6255"/>
    <w:rsid w:val="000B1AA3"/>
    <w:rsid w:val="000D24AC"/>
    <w:rsid w:val="000D3E77"/>
    <w:rsid w:val="000D3F46"/>
    <w:rsid w:val="000D7518"/>
    <w:rsid w:val="000E3456"/>
    <w:rsid w:val="000E557D"/>
    <w:rsid w:val="000E7358"/>
    <w:rsid w:val="000E777E"/>
    <w:rsid w:val="000E7FDF"/>
    <w:rsid w:val="000F0E14"/>
    <w:rsid w:val="00102F3A"/>
    <w:rsid w:val="00103991"/>
    <w:rsid w:val="00105A6D"/>
    <w:rsid w:val="001078FB"/>
    <w:rsid w:val="001112B2"/>
    <w:rsid w:val="001118C5"/>
    <w:rsid w:val="00112AF6"/>
    <w:rsid w:val="00115164"/>
    <w:rsid w:val="00120744"/>
    <w:rsid w:val="00145EB3"/>
    <w:rsid w:val="00154129"/>
    <w:rsid w:val="00164FE2"/>
    <w:rsid w:val="0017384E"/>
    <w:rsid w:val="001743B9"/>
    <w:rsid w:val="001A1D6A"/>
    <w:rsid w:val="001D0875"/>
    <w:rsid w:val="001E3DE3"/>
    <w:rsid w:val="001E6134"/>
    <w:rsid w:val="001F08FE"/>
    <w:rsid w:val="00205B19"/>
    <w:rsid w:val="00205E49"/>
    <w:rsid w:val="00210F61"/>
    <w:rsid w:val="00217489"/>
    <w:rsid w:val="0024068A"/>
    <w:rsid w:val="00244AAC"/>
    <w:rsid w:val="00247304"/>
    <w:rsid w:val="00264C91"/>
    <w:rsid w:val="002876D0"/>
    <w:rsid w:val="00287C3E"/>
    <w:rsid w:val="002910BD"/>
    <w:rsid w:val="002B18C8"/>
    <w:rsid w:val="002C0BC8"/>
    <w:rsid w:val="002C5007"/>
    <w:rsid w:val="002D6E05"/>
    <w:rsid w:val="002E17FD"/>
    <w:rsid w:val="002E5109"/>
    <w:rsid w:val="002F03F6"/>
    <w:rsid w:val="002F357B"/>
    <w:rsid w:val="002F449A"/>
    <w:rsid w:val="00301163"/>
    <w:rsid w:val="00302063"/>
    <w:rsid w:val="00304F73"/>
    <w:rsid w:val="003051F5"/>
    <w:rsid w:val="0030671F"/>
    <w:rsid w:val="00307ABA"/>
    <w:rsid w:val="0031005A"/>
    <w:rsid w:val="00314AA7"/>
    <w:rsid w:val="00317446"/>
    <w:rsid w:val="0033539D"/>
    <w:rsid w:val="00336289"/>
    <w:rsid w:val="00345DB5"/>
    <w:rsid w:val="00351220"/>
    <w:rsid w:val="0035281D"/>
    <w:rsid w:val="00363D31"/>
    <w:rsid w:val="00363E9A"/>
    <w:rsid w:val="00385C6B"/>
    <w:rsid w:val="003A6618"/>
    <w:rsid w:val="003C4B41"/>
    <w:rsid w:val="003D3D08"/>
    <w:rsid w:val="003E6918"/>
    <w:rsid w:val="003F01AA"/>
    <w:rsid w:val="003F6285"/>
    <w:rsid w:val="00404C81"/>
    <w:rsid w:val="0040572E"/>
    <w:rsid w:val="00440468"/>
    <w:rsid w:val="00446E14"/>
    <w:rsid w:val="00473B50"/>
    <w:rsid w:val="00474715"/>
    <w:rsid w:val="00483311"/>
    <w:rsid w:val="0048350B"/>
    <w:rsid w:val="004879F8"/>
    <w:rsid w:val="004A658E"/>
    <w:rsid w:val="004B2412"/>
    <w:rsid w:val="004B6423"/>
    <w:rsid w:val="004C1E5F"/>
    <w:rsid w:val="004C6CCF"/>
    <w:rsid w:val="004D06B6"/>
    <w:rsid w:val="004E1514"/>
    <w:rsid w:val="004F3170"/>
    <w:rsid w:val="004F6ED7"/>
    <w:rsid w:val="00520CE3"/>
    <w:rsid w:val="00524A5D"/>
    <w:rsid w:val="00526502"/>
    <w:rsid w:val="005328F6"/>
    <w:rsid w:val="00534613"/>
    <w:rsid w:val="00541F83"/>
    <w:rsid w:val="00542827"/>
    <w:rsid w:val="0054702D"/>
    <w:rsid w:val="00553F98"/>
    <w:rsid w:val="005547CF"/>
    <w:rsid w:val="00576096"/>
    <w:rsid w:val="00585089"/>
    <w:rsid w:val="00592120"/>
    <w:rsid w:val="00596497"/>
    <w:rsid w:val="005A279D"/>
    <w:rsid w:val="005A4B3C"/>
    <w:rsid w:val="005A4C46"/>
    <w:rsid w:val="005B019C"/>
    <w:rsid w:val="005B4B04"/>
    <w:rsid w:val="005B5785"/>
    <w:rsid w:val="005B735A"/>
    <w:rsid w:val="005B7859"/>
    <w:rsid w:val="005C452C"/>
    <w:rsid w:val="005D3F6C"/>
    <w:rsid w:val="005D5C15"/>
    <w:rsid w:val="005F19E4"/>
    <w:rsid w:val="00612657"/>
    <w:rsid w:val="00614699"/>
    <w:rsid w:val="00617643"/>
    <w:rsid w:val="0062179E"/>
    <w:rsid w:val="00626641"/>
    <w:rsid w:val="00651AF7"/>
    <w:rsid w:val="0065481B"/>
    <w:rsid w:val="006619CD"/>
    <w:rsid w:val="00667A8E"/>
    <w:rsid w:val="00676877"/>
    <w:rsid w:val="0068283E"/>
    <w:rsid w:val="00692B79"/>
    <w:rsid w:val="006A5D43"/>
    <w:rsid w:val="006B2AF5"/>
    <w:rsid w:val="006C531D"/>
    <w:rsid w:val="006D0273"/>
    <w:rsid w:val="006D616F"/>
    <w:rsid w:val="006E1387"/>
    <w:rsid w:val="006E4386"/>
    <w:rsid w:val="006F04E6"/>
    <w:rsid w:val="006F413D"/>
    <w:rsid w:val="00706B97"/>
    <w:rsid w:val="007217D3"/>
    <w:rsid w:val="00724B1F"/>
    <w:rsid w:val="007315DE"/>
    <w:rsid w:val="00736F9D"/>
    <w:rsid w:val="007711E7"/>
    <w:rsid w:val="00791B5D"/>
    <w:rsid w:val="00794B26"/>
    <w:rsid w:val="00795D3B"/>
    <w:rsid w:val="00796A37"/>
    <w:rsid w:val="00797956"/>
    <w:rsid w:val="007A39DE"/>
    <w:rsid w:val="007C3250"/>
    <w:rsid w:val="007C3522"/>
    <w:rsid w:val="007D52F0"/>
    <w:rsid w:val="007D69E6"/>
    <w:rsid w:val="007E6753"/>
    <w:rsid w:val="00804837"/>
    <w:rsid w:val="008328A5"/>
    <w:rsid w:val="00833526"/>
    <w:rsid w:val="00834070"/>
    <w:rsid w:val="00843274"/>
    <w:rsid w:val="00860681"/>
    <w:rsid w:val="008755D2"/>
    <w:rsid w:val="00875CB8"/>
    <w:rsid w:val="008862A0"/>
    <w:rsid w:val="00890C22"/>
    <w:rsid w:val="008A6426"/>
    <w:rsid w:val="008C06B7"/>
    <w:rsid w:val="008C5938"/>
    <w:rsid w:val="008E0D8C"/>
    <w:rsid w:val="008F5408"/>
    <w:rsid w:val="0092129A"/>
    <w:rsid w:val="00950E61"/>
    <w:rsid w:val="00956B67"/>
    <w:rsid w:val="00960AD2"/>
    <w:rsid w:val="009678A9"/>
    <w:rsid w:val="00970896"/>
    <w:rsid w:val="009912A2"/>
    <w:rsid w:val="00992C1D"/>
    <w:rsid w:val="009A047A"/>
    <w:rsid w:val="009A3A58"/>
    <w:rsid w:val="009A65E8"/>
    <w:rsid w:val="009C0778"/>
    <w:rsid w:val="009C178C"/>
    <w:rsid w:val="009C4CEA"/>
    <w:rsid w:val="009C7797"/>
    <w:rsid w:val="009D1E14"/>
    <w:rsid w:val="009E1139"/>
    <w:rsid w:val="009E58A5"/>
    <w:rsid w:val="00A04EC0"/>
    <w:rsid w:val="00A06FCA"/>
    <w:rsid w:val="00A112B9"/>
    <w:rsid w:val="00A1291A"/>
    <w:rsid w:val="00A13F54"/>
    <w:rsid w:val="00A1411E"/>
    <w:rsid w:val="00A339ED"/>
    <w:rsid w:val="00A41BC8"/>
    <w:rsid w:val="00A44051"/>
    <w:rsid w:val="00A449BD"/>
    <w:rsid w:val="00A60F54"/>
    <w:rsid w:val="00A628DC"/>
    <w:rsid w:val="00A70950"/>
    <w:rsid w:val="00A77696"/>
    <w:rsid w:val="00A866CB"/>
    <w:rsid w:val="00AC0CAE"/>
    <w:rsid w:val="00AE09D5"/>
    <w:rsid w:val="00B227DE"/>
    <w:rsid w:val="00B23B9E"/>
    <w:rsid w:val="00B406C0"/>
    <w:rsid w:val="00B45B38"/>
    <w:rsid w:val="00B477CC"/>
    <w:rsid w:val="00B5102B"/>
    <w:rsid w:val="00B550D2"/>
    <w:rsid w:val="00B57608"/>
    <w:rsid w:val="00B66655"/>
    <w:rsid w:val="00B729D8"/>
    <w:rsid w:val="00B80E32"/>
    <w:rsid w:val="00BA4840"/>
    <w:rsid w:val="00BA688F"/>
    <w:rsid w:val="00BB2523"/>
    <w:rsid w:val="00BC743F"/>
    <w:rsid w:val="00BE30A5"/>
    <w:rsid w:val="00BE72B7"/>
    <w:rsid w:val="00C061AB"/>
    <w:rsid w:val="00C23EE1"/>
    <w:rsid w:val="00C24C4A"/>
    <w:rsid w:val="00C27F1A"/>
    <w:rsid w:val="00C50103"/>
    <w:rsid w:val="00C6685B"/>
    <w:rsid w:val="00C7143A"/>
    <w:rsid w:val="00C7353C"/>
    <w:rsid w:val="00C7620C"/>
    <w:rsid w:val="00C83C6D"/>
    <w:rsid w:val="00C879F6"/>
    <w:rsid w:val="00C91D8D"/>
    <w:rsid w:val="00C92C29"/>
    <w:rsid w:val="00C9407D"/>
    <w:rsid w:val="00CA033B"/>
    <w:rsid w:val="00CD2A7E"/>
    <w:rsid w:val="00CD54C3"/>
    <w:rsid w:val="00CE345C"/>
    <w:rsid w:val="00CF30A5"/>
    <w:rsid w:val="00D126C6"/>
    <w:rsid w:val="00D200DE"/>
    <w:rsid w:val="00D239B7"/>
    <w:rsid w:val="00D24926"/>
    <w:rsid w:val="00D26B62"/>
    <w:rsid w:val="00D302F3"/>
    <w:rsid w:val="00D5596E"/>
    <w:rsid w:val="00D83ABE"/>
    <w:rsid w:val="00D93B15"/>
    <w:rsid w:val="00DA54BD"/>
    <w:rsid w:val="00DB2EA3"/>
    <w:rsid w:val="00DB61C2"/>
    <w:rsid w:val="00DB705A"/>
    <w:rsid w:val="00DD2228"/>
    <w:rsid w:val="00DF2D9D"/>
    <w:rsid w:val="00DF5D9F"/>
    <w:rsid w:val="00E12FB1"/>
    <w:rsid w:val="00E1519C"/>
    <w:rsid w:val="00E30370"/>
    <w:rsid w:val="00E53A4C"/>
    <w:rsid w:val="00E572F4"/>
    <w:rsid w:val="00E63E9A"/>
    <w:rsid w:val="00E63FD8"/>
    <w:rsid w:val="00E65ABD"/>
    <w:rsid w:val="00E66E0B"/>
    <w:rsid w:val="00E72BE9"/>
    <w:rsid w:val="00E732A9"/>
    <w:rsid w:val="00E776BC"/>
    <w:rsid w:val="00E86344"/>
    <w:rsid w:val="00E93485"/>
    <w:rsid w:val="00E951D2"/>
    <w:rsid w:val="00EB36FC"/>
    <w:rsid w:val="00EE0345"/>
    <w:rsid w:val="00EE5B4C"/>
    <w:rsid w:val="00F02431"/>
    <w:rsid w:val="00F10D2E"/>
    <w:rsid w:val="00F163D6"/>
    <w:rsid w:val="00F613F1"/>
    <w:rsid w:val="00F65DE6"/>
    <w:rsid w:val="00F66172"/>
    <w:rsid w:val="00F93028"/>
    <w:rsid w:val="00F95A07"/>
    <w:rsid w:val="00F9747B"/>
    <w:rsid w:val="00FC3AC1"/>
    <w:rsid w:val="00FC4CFE"/>
    <w:rsid w:val="00FC77AA"/>
    <w:rsid w:val="00FD1099"/>
    <w:rsid w:val="00FE13B0"/>
    <w:rsid w:val="00FE3F49"/>
    <w:rsid w:val="00FF624C"/>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19C"/>
    <w:pPr>
      <w:spacing w:after="120"/>
    </w:pPr>
    <w:rPr>
      <w:rFonts w:ascii="Arial" w:hAnsi="Arial"/>
      <w:sz w:val="22"/>
      <w:lang w:eastAsia="en-US"/>
    </w:rPr>
  </w:style>
  <w:style w:type="paragraph" w:styleId="Heading1">
    <w:name w:val="heading 1"/>
    <w:basedOn w:val="Normal"/>
    <w:next w:val="Normal"/>
    <w:autoRedefine/>
    <w:qFormat/>
    <w:rsid w:val="000012D7"/>
    <w:pPr>
      <w:keepNext/>
      <w:numPr>
        <w:numId w:val="2"/>
      </w:numPr>
      <w:spacing w:before="240"/>
      <w:jc w:val="both"/>
      <w:outlineLvl w:val="0"/>
    </w:pPr>
    <w:rPr>
      <w:rFonts w:cs="Arial"/>
      <w:b/>
      <w:szCs w:val="22"/>
      <w:lang w:val="en-US"/>
    </w:rPr>
  </w:style>
  <w:style w:type="paragraph" w:styleId="Heading2">
    <w:name w:val="heading 2"/>
    <w:basedOn w:val="Normal"/>
    <w:next w:val="Normal"/>
    <w:link w:val="Heading2Char"/>
    <w:autoRedefine/>
    <w:qFormat/>
    <w:rsid w:val="00302063"/>
    <w:pPr>
      <w:keepNext/>
      <w:numPr>
        <w:ilvl w:val="1"/>
        <w:numId w:val="2"/>
      </w:numPr>
      <w:tabs>
        <w:tab w:val="clear" w:pos="860"/>
        <w:tab w:val="num" w:pos="576"/>
      </w:tabs>
      <w:spacing w:before="120" w:after="60"/>
      <w:ind w:left="576"/>
      <w:outlineLvl w:val="1"/>
    </w:pPr>
    <w:rPr>
      <w:rFonts w:cs="Arial"/>
      <w:szCs w:val="22"/>
    </w:rPr>
  </w:style>
  <w:style w:type="paragraph" w:styleId="Heading3">
    <w:name w:val="heading 3"/>
    <w:basedOn w:val="Normal"/>
    <w:next w:val="Normal"/>
    <w:autoRedefine/>
    <w:qFormat/>
    <w:rsid w:val="00F613F1"/>
    <w:pPr>
      <w:keepNext/>
      <w:numPr>
        <w:ilvl w:val="2"/>
        <w:numId w:val="2"/>
      </w:numPr>
      <w:spacing w:before="120" w:after="60"/>
      <w:outlineLvl w:val="2"/>
    </w:pPr>
    <w:rPr>
      <w:szCs w:val="22"/>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keepNext/>
      <w:shd w:val="pct5" w:color="auto" w:fill="FFFFFF"/>
      <w:tabs>
        <w:tab w:val="center" w:pos="4513"/>
      </w:tabs>
      <w:suppressAutoHyphens/>
      <w:spacing w:before="240"/>
      <w:outlineLvl w:val="4"/>
    </w:pPr>
    <w:rPr>
      <w:caps/>
    </w:rPr>
  </w:style>
  <w:style w:type="paragraph" w:styleId="Heading6">
    <w:name w:val="heading 6"/>
    <w:basedOn w:val="Normal"/>
    <w:next w:val="Normal"/>
    <w:qFormat/>
    <w:pPr>
      <w:keepNext/>
      <w:numPr>
        <w:ilvl w:val="5"/>
        <w:numId w:val="2"/>
      </w:numPr>
      <w:jc w:val="center"/>
      <w:outlineLvl w:val="5"/>
    </w:pPr>
    <w:rPr>
      <w:sz w:val="44"/>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EndnoteText">
    <w:name w:val="endnote text"/>
    <w:basedOn w:val="Normal"/>
    <w:semiHidden/>
    <w:pPr>
      <w:jc w:val="both"/>
    </w:pPr>
    <w:rPr>
      <w:lang w:val="en-US"/>
    </w:rPr>
  </w:style>
  <w:style w:type="character" w:styleId="EndnoteReference">
    <w:name w:val="endnote reference"/>
    <w:semiHidden/>
    <w:rPr>
      <w:rFonts w:ascii="Times New Roman" w:hAnsi="Times New Roman"/>
      <w:sz w:val="18"/>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link w:val="BodyTextChar"/>
  </w:style>
  <w:style w:type="paragraph" w:customStyle="1" w:styleId="Introduction">
    <w:name w:val="Introduction"/>
    <w:basedOn w:val="Normal"/>
    <w:pPr>
      <w:widowControl w:val="0"/>
    </w:pPr>
    <w:rPr>
      <w:i/>
    </w:rPr>
  </w:style>
  <w:style w:type="paragraph" w:customStyle="1" w:styleId="NOTES">
    <w:name w:val="NOTES"/>
    <w:basedOn w:val="Normal"/>
    <w:pPr>
      <w:widowControl w:val="0"/>
      <w:ind w:left="357" w:hanging="357"/>
    </w:pPr>
  </w:style>
  <w:style w:type="paragraph" w:customStyle="1" w:styleId="References">
    <w:name w:val="References"/>
    <w:basedOn w:val="Normal"/>
    <w:pPr>
      <w:widowControl w:val="0"/>
      <w:numPr>
        <w:numId w:val="1"/>
      </w:numPr>
    </w:pPr>
    <w:rPr>
      <w:sz w:val="18"/>
    </w:rPr>
  </w:style>
  <w:style w:type="paragraph" w:customStyle="1" w:styleId="Clause">
    <w:name w:val="Clause"/>
    <w:basedOn w:val="Normal"/>
    <w:pPr>
      <w:widowControl w:val="0"/>
      <w:spacing w:before="240"/>
      <w:ind w:left="576" w:hanging="576"/>
      <w:jc w:val="both"/>
    </w:pPr>
    <w:rPr>
      <w:lang w:val="en-US"/>
    </w:rPr>
  </w:style>
  <w:style w:type="paragraph" w:customStyle="1" w:styleId="Subclause">
    <w:name w:val="Subclause"/>
    <w:basedOn w:val="Normal"/>
    <w:pPr>
      <w:widowControl w:val="0"/>
      <w:spacing w:after="60"/>
      <w:ind w:left="979" w:hanging="259"/>
      <w:jc w:val="both"/>
    </w:pPr>
    <w:rPr>
      <w:lang w:val="en-US"/>
    </w:rPr>
  </w:style>
  <w:style w:type="paragraph" w:customStyle="1" w:styleId="Standardheading">
    <w:name w:val="Standard heading"/>
    <w:basedOn w:val="Normal"/>
    <w:rPr>
      <w:b/>
      <w:sz w:val="24"/>
    </w:rPr>
  </w:style>
  <w:style w:type="paragraph" w:styleId="BlockText">
    <w:name w:val="Block Text"/>
    <w:basedOn w:val="Normal"/>
    <w:pPr>
      <w:pBdr>
        <w:top w:val="single" w:sz="6" w:space="12" w:color="auto"/>
        <w:left w:val="single" w:sz="6" w:space="31" w:color="auto"/>
        <w:bottom w:val="single" w:sz="6" w:space="12" w:color="auto"/>
        <w:right w:val="single" w:sz="6" w:space="31" w:color="auto"/>
      </w:pBdr>
      <w:tabs>
        <w:tab w:val="left" w:pos="-720"/>
      </w:tabs>
      <w:suppressAutoHyphens/>
      <w:ind w:left="2160" w:right="1826"/>
      <w:jc w:val="center"/>
    </w:pPr>
    <w:rPr>
      <w:spacing w:val="-2"/>
      <w:sz w:val="18"/>
    </w:rPr>
  </w:style>
  <w:style w:type="paragraph" w:styleId="TOC1">
    <w:name w:val="toc 1"/>
    <w:basedOn w:val="Normal"/>
    <w:next w:val="Normal"/>
    <w:autoRedefine/>
    <w:uiPriority w:val="39"/>
    <w:rsid w:val="00B550D2"/>
    <w:pPr>
      <w:spacing w:before="240"/>
    </w:pPr>
    <w:rPr>
      <w:b/>
      <w:bCs/>
    </w:rPr>
  </w:style>
  <w:style w:type="paragraph" w:styleId="TOC2">
    <w:name w:val="toc 2"/>
    <w:basedOn w:val="Normal"/>
    <w:next w:val="Normal"/>
    <w:autoRedefine/>
    <w:semiHidden/>
    <w:pPr>
      <w:spacing w:before="120" w:after="0"/>
      <w:ind w:left="220"/>
    </w:pPr>
    <w:rPr>
      <w:rFonts w:ascii="Times New Roman" w:hAnsi="Times New Roman"/>
      <w:i/>
      <w:iCs/>
      <w:sz w:val="20"/>
    </w:rPr>
  </w:style>
  <w:style w:type="paragraph" w:styleId="TOC3">
    <w:name w:val="toc 3"/>
    <w:basedOn w:val="Normal"/>
    <w:next w:val="Normal"/>
    <w:autoRedefine/>
    <w:semiHidden/>
    <w:pPr>
      <w:spacing w:after="0"/>
      <w:ind w:left="440"/>
    </w:pPr>
    <w:rPr>
      <w:rFonts w:ascii="Times New Roman" w:hAnsi="Times New Roman"/>
      <w:sz w:val="20"/>
    </w:rPr>
  </w:style>
  <w:style w:type="paragraph" w:styleId="TOC4">
    <w:name w:val="toc 4"/>
    <w:basedOn w:val="Normal"/>
    <w:next w:val="Normal"/>
    <w:autoRedefine/>
    <w:semiHidden/>
    <w:pPr>
      <w:spacing w:after="0"/>
      <w:ind w:left="660"/>
    </w:pPr>
    <w:rPr>
      <w:rFonts w:ascii="Times New Roman" w:hAnsi="Times New Roman"/>
      <w:sz w:val="20"/>
    </w:rPr>
  </w:style>
  <w:style w:type="paragraph" w:styleId="TOC5">
    <w:name w:val="toc 5"/>
    <w:basedOn w:val="Normal"/>
    <w:next w:val="Normal"/>
    <w:autoRedefine/>
    <w:semiHidden/>
    <w:pPr>
      <w:spacing w:after="0"/>
      <w:ind w:left="880"/>
    </w:pPr>
    <w:rPr>
      <w:rFonts w:ascii="Times New Roman" w:hAnsi="Times New Roman"/>
      <w:sz w:val="20"/>
    </w:rPr>
  </w:style>
  <w:style w:type="paragraph" w:styleId="TOC6">
    <w:name w:val="toc 6"/>
    <w:basedOn w:val="Normal"/>
    <w:next w:val="Normal"/>
    <w:autoRedefine/>
    <w:semiHidden/>
    <w:pPr>
      <w:spacing w:after="0"/>
      <w:ind w:left="1100"/>
    </w:pPr>
    <w:rPr>
      <w:rFonts w:ascii="Times New Roman" w:hAnsi="Times New Roman"/>
      <w:sz w:val="20"/>
    </w:rPr>
  </w:style>
  <w:style w:type="paragraph" w:styleId="TOC7">
    <w:name w:val="toc 7"/>
    <w:basedOn w:val="Normal"/>
    <w:next w:val="Normal"/>
    <w:autoRedefine/>
    <w:semiHidden/>
    <w:pPr>
      <w:spacing w:after="0"/>
      <w:ind w:left="1320"/>
    </w:pPr>
    <w:rPr>
      <w:rFonts w:ascii="Times New Roman" w:hAnsi="Times New Roman"/>
      <w:sz w:val="20"/>
    </w:rPr>
  </w:style>
  <w:style w:type="paragraph" w:styleId="TOC8">
    <w:name w:val="toc 8"/>
    <w:basedOn w:val="Normal"/>
    <w:next w:val="Normal"/>
    <w:autoRedefine/>
    <w:semiHidden/>
    <w:pPr>
      <w:spacing w:after="0"/>
      <w:ind w:left="1540"/>
    </w:pPr>
    <w:rPr>
      <w:rFonts w:ascii="Times New Roman" w:hAnsi="Times New Roman"/>
      <w:sz w:val="20"/>
    </w:rPr>
  </w:style>
  <w:style w:type="paragraph" w:styleId="TOC9">
    <w:name w:val="toc 9"/>
    <w:basedOn w:val="Normal"/>
    <w:next w:val="Normal"/>
    <w:autoRedefine/>
    <w:semiHidden/>
    <w:pPr>
      <w:spacing w:after="0"/>
      <w:ind w:left="1760"/>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Bullet">
    <w:name w:val="Bullet"/>
    <w:basedOn w:val="Normal"/>
    <w:pPr>
      <w:widowControl w:val="0"/>
      <w:numPr>
        <w:numId w:val="3"/>
      </w:numPr>
      <w:tabs>
        <w:tab w:val="left" w:pos="1080"/>
      </w:tabs>
      <w:autoSpaceDE w:val="0"/>
      <w:autoSpaceDN w:val="0"/>
      <w:spacing w:after="60"/>
      <w:jc w:val="both"/>
    </w:pPr>
    <w:rPr>
      <w:b/>
      <w:lang w:val="en-US"/>
    </w:rPr>
  </w:style>
  <w:style w:type="character" w:styleId="Hyperlink">
    <w:name w:val="Hyperlink"/>
    <w:uiPriority w:val="99"/>
    <w:rPr>
      <w:color w:val="0000FF"/>
      <w:u w:val="single"/>
    </w:rPr>
  </w:style>
  <w:style w:type="paragraph" w:customStyle="1" w:styleId="FigHead">
    <w:name w:val="FigHead"/>
    <w:basedOn w:val="Normal"/>
    <w:pPr>
      <w:tabs>
        <w:tab w:val="left" w:pos="1260"/>
      </w:tabs>
      <w:ind w:left="1267" w:hanging="1267"/>
    </w:pPr>
    <w:rPr>
      <w:b/>
    </w:rPr>
  </w:style>
  <w:style w:type="paragraph" w:customStyle="1" w:styleId="CHead2">
    <w:name w:val="CHead2"/>
    <w:basedOn w:val="Heading3"/>
    <w:pPr>
      <w:numPr>
        <w:ilvl w:val="0"/>
        <w:numId w:val="0"/>
      </w:numPr>
      <w:outlineLvl w:val="9"/>
    </w:pPr>
    <w:rPr>
      <w:rFonts w:ascii="Times New Roman" w:hAnsi="Times New Roman"/>
      <w:caps/>
      <w:sz w:val="30"/>
    </w:rPr>
  </w:style>
  <w:style w:type="paragraph" w:customStyle="1" w:styleId="CHead3">
    <w:name w:val="CHead3"/>
    <w:basedOn w:val="Heading3"/>
    <w:pPr>
      <w:numPr>
        <w:ilvl w:val="0"/>
        <w:numId w:val="0"/>
      </w:numPr>
      <w:outlineLvl w:val="9"/>
    </w:pPr>
    <w:rPr>
      <w:rFonts w:ascii="Times New Roman" w:hAnsi="Times New Roman"/>
      <w:caps/>
    </w:rPr>
  </w:style>
  <w:style w:type="paragraph" w:styleId="BodyTextIndent">
    <w:name w:val="Body Text Indent"/>
    <w:basedOn w:val="Normal"/>
    <w:pPr>
      <w:spacing w:before="120" w:line="360" w:lineRule="auto"/>
      <w:ind w:left="720"/>
    </w:pPr>
    <w:rPr>
      <w:lang w:val="en-US"/>
    </w:rPr>
  </w:style>
  <w:style w:type="paragraph" w:styleId="Title">
    <w:name w:val="Title"/>
    <w:basedOn w:val="Normal"/>
    <w:qFormat/>
    <w:pPr>
      <w:spacing w:after="240"/>
      <w:ind w:left="170" w:right="170"/>
      <w:jc w:val="center"/>
    </w:pPr>
    <w:rPr>
      <w:b/>
      <w:color w:val="000000"/>
      <w:sz w:val="28"/>
    </w:rPr>
  </w:style>
  <w:style w:type="paragraph" w:customStyle="1" w:styleId="GBNormal">
    <w:name w:val="GB Normal"/>
    <w:basedOn w:val="Normal"/>
    <w:autoRedefine/>
    <w:pPr>
      <w:numPr>
        <w:numId w:val="4"/>
      </w:numPr>
      <w:tabs>
        <w:tab w:val="clear" w:pos="644"/>
        <w:tab w:val="num" w:pos="525"/>
      </w:tabs>
      <w:spacing w:after="0"/>
      <w:ind w:left="525" w:hanging="525"/>
    </w:pPr>
    <w:rPr>
      <w:rFonts w:ascii="Times New Roman" w:hAnsi="Times New Roman"/>
      <w:spacing w:val="-3"/>
      <w:sz w:val="24"/>
    </w:rPr>
  </w:style>
  <w:style w:type="character" w:customStyle="1" w:styleId="Heading2Char">
    <w:name w:val="Heading 2 Char"/>
    <w:link w:val="Heading2"/>
    <w:rsid w:val="00302063"/>
    <w:rPr>
      <w:rFonts w:ascii="Arial" w:hAnsi="Arial" w:cs="Arial"/>
      <w:sz w:val="22"/>
      <w:szCs w:val="22"/>
      <w:lang w:eastAsia="en-US"/>
    </w:rPr>
  </w:style>
  <w:style w:type="table" w:styleId="TableGrid">
    <w:name w:val="Table Grid"/>
    <w:basedOn w:val="TableNormal"/>
    <w:rsid w:val="000772F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1519C"/>
    <w:rPr>
      <w:rFonts w:ascii="Arial" w:hAnsi="Arial"/>
      <w:sz w:val="22"/>
      <w:lang w:eastAsia="en-US"/>
    </w:rPr>
  </w:style>
  <w:style w:type="character" w:customStyle="1" w:styleId="BodyTextChar">
    <w:name w:val="Body Text Char"/>
    <w:link w:val="BodyText"/>
    <w:rsid w:val="00E1519C"/>
    <w:rPr>
      <w:rFonts w:ascii="Arial" w:hAnsi="Arial"/>
      <w:sz w:val="22"/>
      <w:lang w:eastAsia="en-US"/>
    </w:rPr>
  </w:style>
  <w:style w:type="paragraph" w:styleId="ListParagraph">
    <w:name w:val="List Paragraph"/>
    <w:basedOn w:val="Normal"/>
    <w:uiPriority w:val="34"/>
    <w:qFormat/>
    <w:rsid w:val="00692B79"/>
    <w:pPr>
      <w:ind w:left="720"/>
      <w:contextualSpacing/>
    </w:pPr>
  </w:style>
  <w:style w:type="character" w:styleId="FollowedHyperlink">
    <w:name w:val="FollowedHyperlink"/>
    <w:basedOn w:val="DefaultParagraphFont"/>
    <w:rsid w:val="00385C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19C"/>
    <w:pPr>
      <w:spacing w:after="120"/>
    </w:pPr>
    <w:rPr>
      <w:rFonts w:ascii="Arial" w:hAnsi="Arial"/>
      <w:sz w:val="22"/>
      <w:lang w:eastAsia="en-US"/>
    </w:rPr>
  </w:style>
  <w:style w:type="paragraph" w:styleId="Heading1">
    <w:name w:val="heading 1"/>
    <w:basedOn w:val="Normal"/>
    <w:next w:val="Normal"/>
    <w:autoRedefine/>
    <w:qFormat/>
    <w:rsid w:val="000012D7"/>
    <w:pPr>
      <w:keepNext/>
      <w:numPr>
        <w:numId w:val="2"/>
      </w:numPr>
      <w:spacing w:before="240"/>
      <w:jc w:val="both"/>
      <w:outlineLvl w:val="0"/>
    </w:pPr>
    <w:rPr>
      <w:rFonts w:cs="Arial"/>
      <w:b/>
      <w:szCs w:val="22"/>
      <w:lang w:val="en-US"/>
    </w:rPr>
  </w:style>
  <w:style w:type="paragraph" w:styleId="Heading2">
    <w:name w:val="heading 2"/>
    <w:basedOn w:val="Normal"/>
    <w:next w:val="Normal"/>
    <w:link w:val="Heading2Char"/>
    <w:autoRedefine/>
    <w:qFormat/>
    <w:rsid w:val="00302063"/>
    <w:pPr>
      <w:keepNext/>
      <w:numPr>
        <w:ilvl w:val="1"/>
        <w:numId w:val="2"/>
      </w:numPr>
      <w:tabs>
        <w:tab w:val="clear" w:pos="860"/>
        <w:tab w:val="num" w:pos="576"/>
      </w:tabs>
      <w:spacing w:before="120" w:after="60"/>
      <w:ind w:left="576"/>
      <w:outlineLvl w:val="1"/>
    </w:pPr>
    <w:rPr>
      <w:rFonts w:cs="Arial"/>
      <w:szCs w:val="22"/>
    </w:rPr>
  </w:style>
  <w:style w:type="paragraph" w:styleId="Heading3">
    <w:name w:val="heading 3"/>
    <w:basedOn w:val="Normal"/>
    <w:next w:val="Normal"/>
    <w:autoRedefine/>
    <w:qFormat/>
    <w:rsid w:val="00F613F1"/>
    <w:pPr>
      <w:keepNext/>
      <w:numPr>
        <w:ilvl w:val="2"/>
        <w:numId w:val="2"/>
      </w:numPr>
      <w:spacing w:before="120" w:after="60"/>
      <w:outlineLvl w:val="2"/>
    </w:pPr>
    <w:rPr>
      <w:szCs w:val="22"/>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keepNext/>
      <w:shd w:val="pct5" w:color="auto" w:fill="FFFFFF"/>
      <w:tabs>
        <w:tab w:val="center" w:pos="4513"/>
      </w:tabs>
      <w:suppressAutoHyphens/>
      <w:spacing w:before="240"/>
      <w:outlineLvl w:val="4"/>
    </w:pPr>
    <w:rPr>
      <w:caps/>
    </w:rPr>
  </w:style>
  <w:style w:type="paragraph" w:styleId="Heading6">
    <w:name w:val="heading 6"/>
    <w:basedOn w:val="Normal"/>
    <w:next w:val="Normal"/>
    <w:qFormat/>
    <w:pPr>
      <w:keepNext/>
      <w:numPr>
        <w:ilvl w:val="5"/>
        <w:numId w:val="2"/>
      </w:numPr>
      <w:jc w:val="center"/>
      <w:outlineLvl w:val="5"/>
    </w:pPr>
    <w:rPr>
      <w:sz w:val="44"/>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EndnoteText">
    <w:name w:val="endnote text"/>
    <w:basedOn w:val="Normal"/>
    <w:semiHidden/>
    <w:pPr>
      <w:jc w:val="both"/>
    </w:pPr>
    <w:rPr>
      <w:lang w:val="en-US"/>
    </w:rPr>
  </w:style>
  <w:style w:type="character" w:styleId="EndnoteReference">
    <w:name w:val="endnote reference"/>
    <w:semiHidden/>
    <w:rPr>
      <w:rFonts w:ascii="Times New Roman" w:hAnsi="Times New Roman"/>
      <w:sz w:val="18"/>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link w:val="BodyTextChar"/>
  </w:style>
  <w:style w:type="paragraph" w:customStyle="1" w:styleId="Introduction">
    <w:name w:val="Introduction"/>
    <w:basedOn w:val="Normal"/>
    <w:pPr>
      <w:widowControl w:val="0"/>
    </w:pPr>
    <w:rPr>
      <w:i/>
    </w:rPr>
  </w:style>
  <w:style w:type="paragraph" w:customStyle="1" w:styleId="NOTES">
    <w:name w:val="NOTES"/>
    <w:basedOn w:val="Normal"/>
    <w:pPr>
      <w:widowControl w:val="0"/>
      <w:ind w:left="357" w:hanging="357"/>
    </w:pPr>
  </w:style>
  <w:style w:type="paragraph" w:customStyle="1" w:styleId="References">
    <w:name w:val="References"/>
    <w:basedOn w:val="Normal"/>
    <w:pPr>
      <w:widowControl w:val="0"/>
      <w:numPr>
        <w:numId w:val="1"/>
      </w:numPr>
    </w:pPr>
    <w:rPr>
      <w:sz w:val="18"/>
    </w:rPr>
  </w:style>
  <w:style w:type="paragraph" w:customStyle="1" w:styleId="Clause">
    <w:name w:val="Clause"/>
    <w:basedOn w:val="Normal"/>
    <w:pPr>
      <w:widowControl w:val="0"/>
      <w:spacing w:before="240"/>
      <w:ind w:left="576" w:hanging="576"/>
      <w:jc w:val="both"/>
    </w:pPr>
    <w:rPr>
      <w:lang w:val="en-US"/>
    </w:rPr>
  </w:style>
  <w:style w:type="paragraph" w:customStyle="1" w:styleId="Subclause">
    <w:name w:val="Subclause"/>
    <w:basedOn w:val="Normal"/>
    <w:pPr>
      <w:widowControl w:val="0"/>
      <w:spacing w:after="60"/>
      <w:ind w:left="979" w:hanging="259"/>
      <w:jc w:val="both"/>
    </w:pPr>
    <w:rPr>
      <w:lang w:val="en-US"/>
    </w:rPr>
  </w:style>
  <w:style w:type="paragraph" w:customStyle="1" w:styleId="Standardheading">
    <w:name w:val="Standard heading"/>
    <w:basedOn w:val="Normal"/>
    <w:rPr>
      <w:b/>
      <w:sz w:val="24"/>
    </w:rPr>
  </w:style>
  <w:style w:type="paragraph" w:styleId="BlockText">
    <w:name w:val="Block Text"/>
    <w:basedOn w:val="Normal"/>
    <w:pPr>
      <w:pBdr>
        <w:top w:val="single" w:sz="6" w:space="12" w:color="auto"/>
        <w:left w:val="single" w:sz="6" w:space="31" w:color="auto"/>
        <w:bottom w:val="single" w:sz="6" w:space="12" w:color="auto"/>
        <w:right w:val="single" w:sz="6" w:space="31" w:color="auto"/>
      </w:pBdr>
      <w:tabs>
        <w:tab w:val="left" w:pos="-720"/>
      </w:tabs>
      <w:suppressAutoHyphens/>
      <w:ind w:left="2160" w:right="1826"/>
      <w:jc w:val="center"/>
    </w:pPr>
    <w:rPr>
      <w:spacing w:val="-2"/>
      <w:sz w:val="18"/>
    </w:rPr>
  </w:style>
  <w:style w:type="paragraph" w:styleId="TOC1">
    <w:name w:val="toc 1"/>
    <w:basedOn w:val="Normal"/>
    <w:next w:val="Normal"/>
    <w:autoRedefine/>
    <w:uiPriority w:val="39"/>
    <w:rsid w:val="00B550D2"/>
    <w:pPr>
      <w:spacing w:before="240"/>
    </w:pPr>
    <w:rPr>
      <w:b/>
      <w:bCs/>
    </w:rPr>
  </w:style>
  <w:style w:type="paragraph" w:styleId="TOC2">
    <w:name w:val="toc 2"/>
    <w:basedOn w:val="Normal"/>
    <w:next w:val="Normal"/>
    <w:autoRedefine/>
    <w:semiHidden/>
    <w:pPr>
      <w:spacing w:before="120" w:after="0"/>
      <w:ind w:left="220"/>
    </w:pPr>
    <w:rPr>
      <w:rFonts w:ascii="Times New Roman" w:hAnsi="Times New Roman"/>
      <w:i/>
      <w:iCs/>
      <w:sz w:val="20"/>
    </w:rPr>
  </w:style>
  <w:style w:type="paragraph" w:styleId="TOC3">
    <w:name w:val="toc 3"/>
    <w:basedOn w:val="Normal"/>
    <w:next w:val="Normal"/>
    <w:autoRedefine/>
    <w:semiHidden/>
    <w:pPr>
      <w:spacing w:after="0"/>
      <w:ind w:left="440"/>
    </w:pPr>
    <w:rPr>
      <w:rFonts w:ascii="Times New Roman" w:hAnsi="Times New Roman"/>
      <w:sz w:val="20"/>
    </w:rPr>
  </w:style>
  <w:style w:type="paragraph" w:styleId="TOC4">
    <w:name w:val="toc 4"/>
    <w:basedOn w:val="Normal"/>
    <w:next w:val="Normal"/>
    <w:autoRedefine/>
    <w:semiHidden/>
    <w:pPr>
      <w:spacing w:after="0"/>
      <w:ind w:left="660"/>
    </w:pPr>
    <w:rPr>
      <w:rFonts w:ascii="Times New Roman" w:hAnsi="Times New Roman"/>
      <w:sz w:val="20"/>
    </w:rPr>
  </w:style>
  <w:style w:type="paragraph" w:styleId="TOC5">
    <w:name w:val="toc 5"/>
    <w:basedOn w:val="Normal"/>
    <w:next w:val="Normal"/>
    <w:autoRedefine/>
    <w:semiHidden/>
    <w:pPr>
      <w:spacing w:after="0"/>
      <w:ind w:left="880"/>
    </w:pPr>
    <w:rPr>
      <w:rFonts w:ascii="Times New Roman" w:hAnsi="Times New Roman"/>
      <w:sz w:val="20"/>
    </w:rPr>
  </w:style>
  <w:style w:type="paragraph" w:styleId="TOC6">
    <w:name w:val="toc 6"/>
    <w:basedOn w:val="Normal"/>
    <w:next w:val="Normal"/>
    <w:autoRedefine/>
    <w:semiHidden/>
    <w:pPr>
      <w:spacing w:after="0"/>
      <w:ind w:left="1100"/>
    </w:pPr>
    <w:rPr>
      <w:rFonts w:ascii="Times New Roman" w:hAnsi="Times New Roman"/>
      <w:sz w:val="20"/>
    </w:rPr>
  </w:style>
  <w:style w:type="paragraph" w:styleId="TOC7">
    <w:name w:val="toc 7"/>
    <w:basedOn w:val="Normal"/>
    <w:next w:val="Normal"/>
    <w:autoRedefine/>
    <w:semiHidden/>
    <w:pPr>
      <w:spacing w:after="0"/>
      <w:ind w:left="1320"/>
    </w:pPr>
    <w:rPr>
      <w:rFonts w:ascii="Times New Roman" w:hAnsi="Times New Roman"/>
      <w:sz w:val="20"/>
    </w:rPr>
  </w:style>
  <w:style w:type="paragraph" w:styleId="TOC8">
    <w:name w:val="toc 8"/>
    <w:basedOn w:val="Normal"/>
    <w:next w:val="Normal"/>
    <w:autoRedefine/>
    <w:semiHidden/>
    <w:pPr>
      <w:spacing w:after="0"/>
      <w:ind w:left="1540"/>
    </w:pPr>
    <w:rPr>
      <w:rFonts w:ascii="Times New Roman" w:hAnsi="Times New Roman"/>
      <w:sz w:val="20"/>
    </w:rPr>
  </w:style>
  <w:style w:type="paragraph" w:styleId="TOC9">
    <w:name w:val="toc 9"/>
    <w:basedOn w:val="Normal"/>
    <w:next w:val="Normal"/>
    <w:autoRedefine/>
    <w:semiHidden/>
    <w:pPr>
      <w:spacing w:after="0"/>
      <w:ind w:left="1760"/>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Bullet">
    <w:name w:val="Bullet"/>
    <w:basedOn w:val="Normal"/>
    <w:pPr>
      <w:widowControl w:val="0"/>
      <w:numPr>
        <w:numId w:val="3"/>
      </w:numPr>
      <w:tabs>
        <w:tab w:val="left" w:pos="1080"/>
      </w:tabs>
      <w:autoSpaceDE w:val="0"/>
      <w:autoSpaceDN w:val="0"/>
      <w:spacing w:after="60"/>
      <w:jc w:val="both"/>
    </w:pPr>
    <w:rPr>
      <w:b/>
      <w:lang w:val="en-US"/>
    </w:rPr>
  </w:style>
  <w:style w:type="character" w:styleId="Hyperlink">
    <w:name w:val="Hyperlink"/>
    <w:uiPriority w:val="99"/>
    <w:rPr>
      <w:color w:val="0000FF"/>
      <w:u w:val="single"/>
    </w:rPr>
  </w:style>
  <w:style w:type="paragraph" w:customStyle="1" w:styleId="FigHead">
    <w:name w:val="FigHead"/>
    <w:basedOn w:val="Normal"/>
    <w:pPr>
      <w:tabs>
        <w:tab w:val="left" w:pos="1260"/>
      </w:tabs>
      <w:ind w:left="1267" w:hanging="1267"/>
    </w:pPr>
    <w:rPr>
      <w:b/>
    </w:rPr>
  </w:style>
  <w:style w:type="paragraph" w:customStyle="1" w:styleId="CHead2">
    <w:name w:val="CHead2"/>
    <w:basedOn w:val="Heading3"/>
    <w:pPr>
      <w:numPr>
        <w:ilvl w:val="0"/>
        <w:numId w:val="0"/>
      </w:numPr>
      <w:outlineLvl w:val="9"/>
    </w:pPr>
    <w:rPr>
      <w:rFonts w:ascii="Times New Roman" w:hAnsi="Times New Roman"/>
      <w:caps/>
      <w:sz w:val="30"/>
    </w:rPr>
  </w:style>
  <w:style w:type="paragraph" w:customStyle="1" w:styleId="CHead3">
    <w:name w:val="CHead3"/>
    <w:basedOn w:val="Heading3"/>
    <w:pPr>
      <w:numPr>
        <w:ilvl w:val="0"/>
        <w:numId w:val="0"/>
      </w:numPr>
      <w:outlineLvl w:val="9"/>
    </w:pPr>
    <w:rPr>
      <w:rFonts w:ascii="Times New Roman" w:hAnsi="Times New Roman"/>
      <w:caps/>
    </w:rPr>
  </w:style>
  <w:style w:type="paragraph" w:styleId="BodyTextIndent">
    <w:name w:val="Body Text Indent"/>
    <w:basedOn w:val="Normal"/>
    <w:pPr>
      <w:spacing w:before="120" w:line="360" w:lineRule="auto"/>
      <w:ind w:left="720"/>
    </w:pPr>
    <w:rPr>
      <w:lang w:val="en-US"/>
    </w:rPr>
  </w:style>
  <w:style w:type="paragraph" w:styleId="Title">
    <w:name w:val="Title"/>
    <w:basedOn w:val="Normal"/>
    <w:qFormat/>
    <w:pPr>
      <w:spacing w:after="240"/>
      <w:ind w:left="170" w:right="170"/>
      <w:jc w:val="center"/>
    </w:pPr>
    <w:rPr>
      <w:b/>
      <w:color w:val="000000"/>
      <w:sz w:val="28"/>
    </w:rPr>
  </w:style>
  <w:style w:type="paragraph" w:customStyle="1" w:styleId="GBNormal">
    <w:name w:val="GB Normal"/>
    <w:basedOn w:val="Normal"/>
    <w:autoRedefine/>
    <w:pPr>
      <w:numPr>
        <w:numId w:val="4"/>
      </w:numPr>
      <w:tabs>
        <w:tab w:val="clear" w:pos="644"/>
        <w:tab w:val="num" w:pos="525"/>
      </w:tabs>
      <w:spacing w:after="0"/>
      <w:ind w:left="525" w:hanging="525"/>
    </w:pPr>
    <w:rPr>
      <w:rFonts w:ascii="Times New Roman" w:hAnsi="Times New Roman"/>
      <w:spacing w:val="-3"/>
      <w:sz w:val="24"/>
    </w:rPr>
  </w:style>
  <w:style w:type="character" w:customStyle="1" w:styleId="Heading2Char">
    <w:name w:val="Heading 2 Char"/>
    <w:link w:val="Heading2"/>
    <w:rsid w:val="00302063"/>
    <w:rPr>
      <w:rFonts w:ascii="Arial" w:hAnsi="Arial" w:cs="Arial"/>
      <w:sz w:val="22"/>
      <w:szCs w:val="22"/>
      <w:lang w:eastAsia="en-US"/>
    </w:rPr>
  </w:style>
  <w:style w:type="table" w:styleId="TableGrid">
    <w:name w:val="Table Grid"/>
    <w:basedOn w:val="TableNormal"/>
    <w:rsid w:val="000772F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1519C"/>
    <w:rPr>
      <w:rFonts w:ascii="Arial" w:hAnsi="Arial"/>
      <w:sz w:val="22"/>
      <w:lang w:eastAsia="en-US"/>
    </w:rPr>
  </w:style>
  <w:style w:type="character" w:customStyle="1" w:styleId="BodyTextChar">
    <w:name w:val="Body Text Char"/>
    <w:link w:val="BodyText"/>
    <w:rsid w:val="00E1519C"/>
    <w:rPr>
      <w:rFonts w:ascii="Arial" w:hAnsi="Arial"/>
      <w:sz w:val="22"/>
      <w:lang w:eastAsia="en-US"/>
    </w:rPr>
  </w:style>
  <w:style w:type="paragraph" w:styleId="ListParagraph">
    <w:name w:val="List Paragraph"/>
    <w:basedOn w:val="Normal"/>
    <w:uiPriority w:val="34"/>
    <w:qFormat/>
    <w:rsid w:val="00692B79"/>
    <w:pPr>
      <w:ind w:left="720"/>
      <w:contextualSpacing/>
    </w:pPr>
  </w:style>
  <w:style w:type="character" w:styleId="FollowedHyperlink">
    <w:name w:val="FollowedHyperlink"/>
    <w:basedOn w:val="DefaultParagraphFont"/>
    <w:rsid w:val="00385C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taffroom.ydh.yha.com" TargetMode="External"/><Relationship Id="rId26" Type="http://schemas.openxmlformats.org/officeDocument/2006/relationships/hyperlink" Target="http://staffroom.ydh.yha.com" TargetMode="External"/><Relationship Id="rId3" Type="http://schemas.openxmlformats.org/officeDocument/2006/relationships/styles" Target="styles.xml"/><Relationship Id="rId21" Type="http://schemas.openxmlformats.org/officeDocument/2006/relationships/hyperlink" Target="http://staffroom.ydh.yha.com/policies-and-procedures/clinical/laboratory-medicine" TargetMode="External"/><Relationship Id="rId7" Type="http://schemas.openxmlformats.org/officeDocument/2006/relationships/footnotes" Target="footnotes.xml"/><Relationship Id="rId12" Type="http://schemas.openxmlformats.org/officeDocument/2006/relationships/hyperlink" Target="http://staffroom.ydh.yha.com/policies-and-procedures/clinical/laboratory-medicine" TargetMode="External"/><Relationship Id="rId17" Type="http://schemas.openxmlformats.org/officeDocument/2006/relationships/hyperlink" Target="http://staffroom.ydh.yha.com/policies-and-procedures/clinical/laboratory-medicine" TargetMode="External"/><Relationship Id="rId25" Type="http://schemas.openxmlformats.org/officeDocument/2006/relationships/hyperlink" Target="https://www.yorkhospitals.nhs.uk/seecmsfile/?id=4456" TargetMode="External"/><Relationship Id="rId2" Type="http://schemas.openxmlformats.org/officeDocument/2006/relationships/numbering" Target="numbering.xml"/><Relationship Id="rId16" Type="http://schemas.openxmlformats.org/officeDocument/2006/relationships/hyperlink" Target="http://staffroom.ydh.yha.com/policies-and-procedures/clinical" TargetMode="External"/><Relationship Id="rId20" Type="http://schemas.openxmlformats.org/officeDocument/2006/relationships/hyperlink" Target="http://staffroom.ydh.yha.com/policies-and-procedures/clinical" TargetMode="External"/><Relationship Id="rId29" Type="http://schemas.openxmlformats.org/officeDocument/2006/relationships/hyperlink" Target="https://www.yorkhospitals.nhs.uk/seecmsfile/?id=44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ffroom.ydh.yha.com/policies-and-procedures/clinical" TargetMode="External"/><Relationship Id="rId24" Type="http://schemas.openxmlformats.org/officeDocument/2006/relationships/hyperlink" Target="https://www.yorkhospitals.nhs.uk/covid-19/labs-and-sample-handling/" TargetMode="External"/><Relationship Id="rId5" Type="http://schemas.openxmlformats.org/officeDocument/2006/relationships/settings" Target="settings.xml"/><Relationship Id="rId15" Type="http://schemas.openxmlformats.org/officeDocument/2006/relationships/hyperlink" Target="http://staffroom.ydh.yha.com/policies-and-procedures" TargetMode="External"/><Relationship Id="rId23" Type="http://schemas.openxmlformats.org/officeDocument/2006/relationships/hyperlink" Target="https://www.yorkhospitals.nhs.uk/covid-19/" TargetMode="External"/><Relationship Id="rId28" Type="http://schemas.openxmlformats.org/officeDocument/2006/relationships/hyperlink" Target="https://www.yorkhospitals.nhs.uk/covid-19/standard-operating-procedures-and-clinical-guidelines/https:/www.yorkhospitals.nhs.uk/covid-19/standard-operating-procedures-and-clinical-guidelines/" TargetMode="External"/><Relationship Id="rId10" Type="http://schemas.openxmlformats.org/officeDocument/2006/relationships/hyperlink" Target="http://staffroom.ydh.yha.com/policies-and-procedures" TargetMode="External"/><Relationship Id="rId19" Type="http://schemas.openxmlformats.org/officeDocument/2006/relationships/hyperlink" Target="http://staffroom.ydh.yha.com/policies-and-procedure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affroom.ydh.yha.com" TargetMode="External"/><Relationship Id="rId14" Type="http://schemas.openxmlformats.org/officeDocument/2006/relationships/hyperlink" Target="http://staffroom.ydh.yha.com" TargetMode="External"/><Relationship Id="rId22" Type="http://schemas.openxmlformats.org/officeDocument/2006/relationships/hyperlink" Target="file:///C:\Users\rlovie\AppData\Local\Microsoft\Windows\INetCache\Content.Outlook\WGEEPD4M\Transportation%20of%20samples%20for%20COVID-19%20testing" TargetMode="External"/><Relationship Id="rId27" Type="http://schemas.openxmlformats.org/officeDocument/2006/relationships/hyperlink" Target="https://www.yorkhospitals.nhs.uk/covid-19/"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77ED-8828-4118-94A1-D0ACA557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2478</Words>
  <Characters>14129</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Introduction</vt:lpstr>
    </vt:vector>
  </TitlesOfParts>
  <Company>York Teaching Hospitals NHS Foundation Trust</Company>
  <LinksUpToDate>false</LinksUpToDate>
  <CharactersWithSpaces>16574</CharactersWithSpaces>
  <SharedDoc>false</SharedDoc>
  <HLinks>
    <vt:vector size="84" baseType="variant">
      <vt:variant>
        <vt:i4>1376304</vt:i4>
      </vt:variant>
      <vt:variant>
        <vt:i4>80</vt:i4>
      </vt:variant>
      <vt:variant>
        <vt:i4>0</vt:i4>
      </vt:variant>
      <vt:variant>
        <vt:i4>5</vt:i4>
      </vt:variant>
      <vt:variant>
        <vt:lpwstr/>
      </vt:variant>
      <vt:variant>
        <vt:lpwstr>_Toc434316143</vt:lpwstr>
      </vt:variant>
      <vt:variant>
        <vt:i4>1376304</vt:i4>
      </vt:variant>
      <vt:variant>
        <vt:i4>74</vt:i4>
      </vt:variant>
      <vt:variant>
        <vt:i4>0</vt:i4>
      </vt:variant>
      <vt:variant>
        <vt:i4>5</vt:i4>
      </vt:variant>
      <vt:variant>
        <vt:lpwstr/>
      </vt:variant>
      <vt:variant>
        <vt:lpwstr>_Toc434316142</vt:lpwstr>
      </vt:variant>
      <vt:variant>
        <vt:i4>1376304</vt:i4>
      </vt:variant>
      <vt:variant>
        <vt:i4>68</vt:i4>
      </vt:variant>
      <vt:variant>
        <vt:i4>0</vt:i4>
      </vt:variant>
      <vt:variant>
        <vt:i4>5</vt:i4>
      </vt:variant>
      <vt:variant>
        <vt:lpwstr/>
      </vt:variant>
      <vt:variant>
        <vt:lpwstr>_Toc434316141</vt:lpwstr>
      </vt:variant>
      <vt:variant>
        <vt:i4>1376304</vt:i4>
      </vt:variant>
      <vt:variant>
        <vt:i4>62</vt:i4>
      </vt:variant>
      <vt:variant>
        <vt:i4>0</vt:i4>
      </vt:variant>
      <vt:variant>
        <vt:i4>5</vt:i4>
      </vt:variant>
      <vt:variant>
        <vt:lpwstr/>
      </vt:variant>
      <vt:variant>
        <vt:lpwstr>_Toc434316140</vt:lpwstr>
      </vt:variant>
      <vt:variant>
        <vt:i4>1179696</vt:i4>
      </vt:variant>
      <vt:variant>
        <vt:i4>56</vt:i4>
      </vt:variant>
      <vt:variant>
        <vt:i4>0</vt:i4>
      </vt:variant>
      <vt:variant>
        <vt:i4>5</vt:i4>
      </vt:variant>
      <vt:variant>
        <vt:lpwstr/>
      </vt:variant>
      <vt:variant>
        <vt:lpwstr>_Toc434316139</vt:lpwstr>
      </vt:variant>
      <vt:variant>
        <vt:i4>1179696</vt:i4>
      </vt:variant>
      <vt:variant>
        <vt:i4>50</vt:i4>
      </vt:variant>
      <vt:variant>
        <vt:i4>0</vt:i4>
      </vt:variant>
      <vt:variant>
        <vt:i4>5</vt:i4>
      </vt:variant>
      <vt:variant>
        <vt:lpwstr/>
      </vt:variant>
      <vt:variant>
        <vt:lpwstr>_Toc434316138</vt:lpwstr>
      </vt:variant>
      <vt:variant>
        <vt:i4>1179696</vt:i4>
      </vt:variant>
      <vt:variant>
        <vt:i4>44</vt:i4>
      </vt:variant>
      <vt:variant>
        <vt:i4>0</vt:i4>
      </vt:variant>
      <vt:variant>
        <vt:i4>5</vt:i4>
      </vt:variant>
      <vt:variant>
        <vt:lpwstr/>
      </vt:variant>
      <vt:variant>
        <vt:lpwstr>_Toc434316137</vt:lpwstr>
      </vt:variant>
      <vt:variant>
        <vt:i4>1179696</vt:i4>
      </vt:variant>
      <vt:variant>
        <vt:i4>38</vt:i4>
      </vt:variant>
      <vt:variant>
        <vt:i4>0</vt:i4>
      </vt:variant>
      <vt:variant>
        <vt:i4>5</vt:i4>
      </vt:variant>
      <vt:variant>
        <vt:lpwstr/>
      </vt:variant>
      <vt:variant>
        <vt:lpwstr>_Toc434316136</vt:lpwstr>
      </vt:variant>
      <vt:variant>
        <vt:i4>1179696</vt:i4>
      </vt:variant>
      <vt:variant>
        <vt:i4>32</vt:i4>
      </vt:variant>
      <vt:variant>
        <vt:i4>0</vt:i4>
      </vt:variant>
      <vt:variant>
        <vt:i4>5</vt:i4>
      </vt:variant>
      <vt:variant>
        <vt:lpwstr/>
      </vt:variant>
      <vt:variant>
        <vt:lpwstr>_Toc434316135</vt:lpwstr>
      </vt:variant>
      <vt:variant>
        <vt:i4>1179696</vt:i4>
      </vt:variant>
      <vt:variant>
        <vt:i4>26</vt:i4>
      </vt:variant>
      <vt:variant>
        <vt:i4>0</vt:i4>
      </vt:variant>
      <vt:variant>
        <vt:i4>5</vt:i4>
      </vt:variant>
      <vt:variant>
        <vt:lpwstr/>
      </vt:variant>
      <vt:variant>
        <vt:lpwstr>_Toc434316134</vt:lpwstr>
      </vt:variant>
      <vt:variant>
        <vt:i4>1179696</vt:i4>
      </vt:variant>
      <vt:variant>
        <vt:i4>20</vt:i4>
      </vt:variant>
      <vt:variant>
        <vt:i4>0</vt:i4>
      </vt:variant>
      <vt:variant>
        <vt:i4>5</vt:i4>
      </vt:variant>
      <vt:variant>
        <vt:lpwstr/>
      </vt:variant>
      <vt:variant>
        <vt:lpwstr>_Toc434316133</vt:lpwstr>
      </vt:variant>
      <vt:variant>
        <vt:i4>1179696</vt:i4>
      </vt:variant>
      <vt:variant>
        <vt:i4>14</vt:i4>
      </vt:variant>
      <vt:variant>
        <vt:i4>0</vt:i4>
      </vt:variant>
      <vt:variant>
        <vt:i4>5</vt:i4>
      </vt:variant>
      <vt:variant>
        <vt:lpwstr/>
      </vt:variant>
      <vt:variant>
        <vt:lpwstr>_Toc434316132</vt:lpwstr>
      </vt:variant>
      <vt:variant>
        <vt:i4>1179696</vt:i4>
      </vt:variant>
      <vt:variant>
        <vt:i4>8</vt:i4>
      </vt:variant>
      <vt:variant>
        <vt:i4>0</vt:i4>
      </vt:variant>
      <vt:variant>
        <vt:i4>5</vt:i4>
      </vt:variant>
      <vt:variant>
        <vt:lpwstr/>
      </vt:variant>
      <vt:variant>
        <vt:lpwstr>_Toc434316131</vt:lpwstr>
      </vt:variant>
      <vt:variant>
        <vt:i4>1179696</vt:i4>
      </vt:variant>
      <vt:variant>
        <vt:i4>2</vt:i4>
      </vt:variant>
      <vt:variant>
        <vt:i4>0</vt:i4>
      </vt:variant>
      <vt:variant>
        <vt:i4>5</vt:i4>
      </vt:variant>
      <vt:variant>
        <vt:lpwstr/>
      </vt:variant>
      <vt:variant>
        <vt:lpwstr>_Toc434316130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Mr Burnett</dc:creator>
  <cp:lastModifiedBy>Lovie, Rick</cp:lastModifiedBy>
  <cp:revision>2</cp:revision>
  <cp:lastPrinted>2014-04-04T14:17:00Z</cp:lastPrinted>
  <dcterms:created xsi:type="dcterms:W3CDTF">2021-09-30T08:19:00Z</dcterms:created>
  <dcterms:modified xsi:type="dcterms:W3CDTF">2021-09-30T08:19:00Z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