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ED8" w:rsidRDefault="00066ED8" w:rsidP="00066ED8">
      <w:pPr>
        <w:spacing w:after="480" w:line="600" w:lineRule="atLeast"/>
        <w:jc w:val="center"/>
        <w:rPr>
          <w:rFonts w:cs="Arial"/>
          <w:b/>
          <w:bCs/>
          <w:color w:val="333333"/>
          <w:sz w:val="51"/>
          <w:szCs w:val="51"/>
          <w:lang w:eastAsia="en-GB"/>
        </w:rPr>
      </w:pPr>
    </w:p>
    <w:p w:rsidR="00066ED8" w:rsidRPr="00066ED8" w:rsidRDefault="00066ED8" w:rsidP="00066ED8">
      <w:pPr>
        <w:spacing w:after="480" w:line="600" w:lineRule="atLeast"/>
        <w:jc w:val="center"/>
        <w:rPr>
          <w:rFonts w:asciiTheme="minorHAnsi" w:hAnsiTheme="minorHAnsi" w:cstheme="minorHAnsi"/>
          <w:b/>
          <w:bCs/>
          <w:color w:val="333333"/>
          <w:sz w:val="36"/>
          <w:szCs w:val="36"/>
          <w:lang w:eastAsia="en-GB"/>
        </w:rPr>
      </w:pPr>
      <w:r w:rsidRPr="00066ED8">
        <w:rPr>
          <w:rFonts w:asciiTheme="minorHAnsi" w:hAnsiTheme="minorHAnsi" w:cstheme="minorHAnsi"/>
          <w:b/>
          <w:bCs/>
          <w:color w:val="333333"/>
          <w:sz w:val="36"/>
          <w:szCs w:val="36"/>
          <w:lang w:eastAsia="en-GB"/>
        </w:rPr>
        <w:t>Immature Granulocyte (IG) count</w:t>
      </w:r>
    </w:p>
    <w:p w:rsidR="00066ED8" w:rsidRPr="00066ED8" w:rsidRDefault="00066ED8" w:rsidP="00066ED8">
      <w:pPr>
        <w:spacing w:after="360" w:line="480" w:lineRule="atLeast"/>
        <w:rPr>
          <w:rFonts w:asciiTheme="minorHAnsi" w:hAnsiTheme="minorHAnsi" w:cstheme="minorHAnsi"/>
          <w:bCs/>
          <w:color w:val="333333"/>
          <w:szCs w:val="22"/>
          <w:lang w:eastAsia="en-GB"/>
        </w:rPr>
      </w:pPr>
      <w:r w:rsidRPr="00066ED8">
        <w:rPr>
          <w:rFonts w:asciiTheme="minorHAnsi" w:hAnsiTheme="minorHAnsi" w:cstheme="minorHAnsi"/>
          <w:szCs w:val="22"/>
        </w:rPr>
        <w:t>O</w:t>
      </w:r>
      <w:r w:rsidRPr="00066ED8">
        <w:rPr>
          <w:rFonts w:asciiTheme="minorHAnsi" w:hAnsiTheme="minorHAnsi" w:cstheme="minorHAnsi"/>
          <w:szCs w:val="22"/>
        </w:rPr>
        <w:t xml:space="preserve">n the </w:t>
      </w:r>
      <w:r w:rsidRPr="00066ED8">
        <w:rPr>
          <w:rFonts w:asciiTheme="minorHAnsi" w:hAnsiTheme="minorHAnsi" w:cstheme="minorHAnsi"/>
          <w:b/>
          <w:bCs/>
          <w:szCs w:val="22"/>
        </w:rPr>
        <w:t>18</w:t>
      </w:r>
      <w:r w:rsidRPr="00066ED8">
        <w:rPr>
          <w:rFonts w:asciiTheme="minorHAnsi" w:hAnsiTheme="minorHAnsi" w:cstheme="minorHAnsi"/>
          <w:b/>
          <w:bCs/>
          <w:szCs w:val="22"/>
          <w:vertAlign w:val="superscript"/>
        </w:rPr>
        <w:t>th</w:t>
      </w:r>
      <w:r w:rsidRPr="00066ED8">
        <w:rPr>
          <w:rFonts w:asciiTheme="minorHAnsi" w:hAnsiTheme="minorHAnsi" w:cstheme="minorHAnsi"/>
          <w:b/>
          <w:bCs/>
          <w:szCs w:val="22"/>
        </w:rPr>
        <w:t xml:space="preserve"> October 2021</w:t>
      </w:r>
      <w:r w:rsidRPr="00066ED8">
        <w:rPr>
          <w:rFonts w:asciiTheme="minorHAnsi" w:hAnsiTheme="minorHAnsi" w:cstheme="minorHAnsi"/>
          <w:szCs w:val="22"/>
        </w:rPr>
        <w:t xml:space="preserve"> </w:t>
      </w:r>
      <w:r>
        <w:rPr>
          <w:rFonts w:asciiTheme="minorHAnsi" w:hAnsiTheme="minorHAnsi" w:cstheme="minorHAnsi"/>
          <w:szCs w:val="22"/>
        </w:rPr>
        <w:t xml:space="preserve">Haematology </w:t>
      </w:r>
      <w:r w:rsidRPr="00066ED8">
        <w:rPr>
          <w:rFonts w:asciiTheme="minorHAnsi" w:hAnsiTheme="minorHAnsi" w:cstheme="minorHAnsi"/>
          <w:szCs w:val="22"/>
        </w:rPr>
        <w:t>wi</w:t>
      </w:r>
      <w:r>
        <w:rPr>
          <w:rFonts w:asciiTheme="minorHAnsi" w:hAnsiTheme="minorHAnsi" w:cstheme="minorHAnsi"/>
          <w:szCs w:val="22"/>
        </w:rPr>
        <w:t>ll be</w:t>
      </w:r>
      <w:r w:rsidRPr="00066ED8">
        <w:rPr>
          <w:rFonts w:asciiTheme="minorHAnsi" w:hAnsiTheme="minorHAnsi" w:cstheme="minorHAnsi"/>
          <w:szCs w:val="22"/>
        </w:rPr>
        <w:t xml:space="preserve"> rep</w:t>
      </w:r>
      <w:bookmarkStart w:id="0" w:name="_GoBack"/>
      <w:bookmarkEnd w:id="0"/>
      <w:r w:rsidRPr="00066ED8">
        <w:rPr>
          <w:rFonts w:asciiTheme="minorHAnsi" w:hAnsiTheme="minorHAnsi" w:cstheme="minorHAnsi"/>
          <w:szCs w:val="22"/>
        </w:rPr>
        <w:t xml:space="preserve">orting the </w:t>
      </w:r>
      <w:proofErr w:type="gramStart"/>
      <w:r w:rsidRPr="00066ED8">
        <w:rPr>
          <w:rFonts w:asciiTheme="minorHAnsi" w:hAnsiTheme="minorHAnsi" w:cstheme="minorHAnsi"/>
          <w:szCs w:val="22"/>
        </w:rPr>
        <w:t>Immature</w:t>
      </w:r>
      <w:proofErr w:type="gramEnd"/>
      <w:r w:rsidRPr="00066ED8">
        <w:rPr>
          <w:rFonts w:asciiTheme="minorHAnsi" w:hAnsiTheme="minorHAnsi" w:cstheme="minorHAnsi"/>
          <w:szCs w:val="22"/>
        </w:rPr>
        <w:t xml:space="preserve"> granulocytes (IG) on all full blood counts</w:t>
      </w:r>
    </w:p>
    <w:p w:rsidR="00066ED8" w:rsidRPr="00066ED8" w:rsidRDefault="00066ED8" w:rsidP="00066ED8">
      <w:pPr>
        <w:spacing w:after="360" w:line="480" w:lineRule="atLeast"/>
        <w:rPr>
          <w:rFonts w:asciiTheme="minorHAnsi" w:hAnsiTheme="minorHAnsi" w:cstheme="minorHAnsi"/>
          <w:b/>
          <w:bCs/>
          <w:color w:val="333333"/>
          <w:szCs w:val="22"/>
          <w:lang w:eastAsia="en-GB"/>
        </w:rPr>
      </w:pPr>
      <w:r w:rsidRPr="00066ED8">
        <w:rPr>
          <w:rFonts w:asciiTheme="minorHAnsi" w:hAnsiTheme="minorHAnsi" w:cstheme="minorHAnsi"/>
          <w:b/>
          <w:bCs/>
          <w:color w:val="333333"/>
          <w:szCs w:val="22"/>
          <w:lang w:eastAsia="en-GB"/>
        </w:rPr>
        <w:t>What is an IG count?</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With the exception of blood from neonates or pregnant women, the appearance of immature granulocytes in the peripheral blood indicates an early-stage response to infection, inflammation or other stimuli of the bone marrow. Being able to detect IG quickly and reliably opens doors to new diagnostic possibilities for related disorders.</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Current areas of research regarding the diagnostic significance of circulating immature granulocytes focus on the early and rapid discrimination of bacterial from viral infections, particularly in children (e.g. recognising bacterial infection in neonates), and the early recognition of bacterial infection and sepsis in adults, which is of particular importance for intensive care patients.</w:t>
      </w:r>
    </w:p>
    <w:p w:rsidR="00066ED8" w:rsidRPr="00066ED8" w:rsidRDefault="00066ED8" w:rsidP="00066ED8">
      <w:pPr>
        <w:spacing w:after="240" w:line="420" w:lineRule="atLeast"/>
        <w:rPr>
          <w:rFonts w:asciiTheme="minorHAnsi" w:hAnsiTheme="minorHAnsi" w:cstheme="minorHAnsi"/>
          <w:b/>
          <w:bCs/>
          <w:color w:val="333333"/>
          <w:szCs w:val="22"/>
          <w:lang w:eastAsia="en-GB"/>
        </w:rPr>
      </w:pPr>
      <w:r w:rsidRPr="00066ED8">
        <w:rPr>
          <w:rFonts w:asciiTheme="minorHAnsi" w:hAnsiTheme="minorHAnsi" w:cstheme="minorHAnsi"/>
          <w:b/>
          <w:bCs/>
          <w:color w:val="333333"/>
          <w:szCs w:val="22"/>
          <w:lang w:eastAsia="en-GB"/>
        </w:rPr>
        <w:t>Valuable information for immediate action – at no additional cost</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IG counts are relevant especially for patients who are </w:t>
      </w:r>
      <w:r w:rsidRPr="00066ED8">
        <w:rPr>
          <w:rFonts w:asciiTheme="minorHAnsi" w:hAnsiTheme="minorHAnsi" w:cstheme="minorHAnsi"/>
          <w:b/>
          <w:bCs/>
          <w:color w:val="333333"/>
          <w:szCs w:val="22"/>
          <w:lang w:eastAsia="en-GB"/>
        </w:rPr>
        <w:t>highly susceptible to infections </w:t>
      </w:r>
      <w:r w:rsidRPr="00066ED8">
        <w:rPr>
          <w:rFonts w:asciiTheme="minorHAnsi" w:hAnsiTheme="minorHAnsi" w:cstheme="minorHAnsi"/>
          <w:color w:val="333333"/>
          <w:szCs w:val="22"/>
          <w:lang w:eastAsia="en-GB"/>
        </w:rPr>
        <w:t>because of a suppressed immune system and because the increased IG count indicates the severity of the early innate immune response. In addition to patients with general infections and inflammations, clinicians will pay particular attention to:</w:t>
      </w:r>
    </w:p>
    <w:p w:rsidR="00066ED8" w:rsidRPr="00066ED8" w:rsidRDefault="00066ED8" w:rsidP="00066ED8">
      <w:pPr>
        <w:spacing w:before="100" w:beforeAutospacing="1" w:line="360" w:lineRule="atLeast"/>
        <w:ind w:left="600" w:hanging="360"/>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        Patients from the</w:t>
      </w:r>
      <w:r w:rsidRPr="00066ED8">
        <w:rPr>
          <w:rFonts w:asciiTheme="minorHAnsi" w:hAnsiTheme="minorHAnsi" w:cstheme="minorHAnsi"/>
          <w:b/>
          <w:bCs/>
          <w:color w:val="333333"/>
          <w:szCs w:val="22"/>
          <w:lang w:eastAsia="en-GB"/>
        </w:rPr>
        <w:t> intensive care unit,</w:t>
      </w:r>
    </w:p>
    <w:p w:rsidR="00066ED8" w:rsidRPr="00066ED8" w:rsidRDefault="00066ED8" w:rsidP="00066ED8">
      <w:pPr>
        <w:spacing w:before="100" w:beforeAutospacing="1" w:line="360" w:lineRule="atLeast"/>
        <w:ind w:left="600" w:hanging="360"/>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        Patients undergoing </w:t>
      </w:r>
      <w:r w:rsidRPr="00066ED8">
        <w:rPr>
          <w:rFonts w:asciiTheme="minorHAnsi" w:hAnsiTheme="minorHAnsi" w:cstheme="minorHAnsi"/>
          <w:b/>
          <w:bCs/>
          <w:color w:val="333333"/>
          <w:szCs w:val="22"/>
          <w:lang w:eastAsia="en-GB"/>
        </w:rPr>
        <w:t>chemotherapy,</w:t>
      </w:r>
    </w:p>
    <w:p w:rsidR="00066ED8" w:rsidRPr="00066ED8" w:rsidRDefault="00066ED8" w:rsidP="00066ED8">
      <w:pPr>
        <w:spacing w:before="100" w:beforeAutospacing="1" w:line="360" w:lineRule="atLeast"/>
        <w:ind w:left="600" w:hanging="360"/>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        Patients suffering from </w:t>
      </w:r>
      <w:r w:rsidRPr="00066ED8">
        <w:rPr>
          <w:rFonts w:asciiTheme="minorHAnsi" w:hAnsiTheme="minorHAnsi" w:cstheme="minorHAnsi"/>
          <w:b/>
          <w:bCs/>
          <w:color w:val="333333"/>
          <w:szCs w:val="22"/>
          <w:lang w:eastAsia="en-GB"/>
        </w:rPr>
        <w:t>HIV/AIDS.</w:t>
      </w:r>
    </w:p>
    <w:p w:rsidR="00066ED8" w:rsidRPr="00066ED8" w:rsidRDefault="00066ED8" w:rsidP="00066ED8">
      <w:pPr>
        <w:jc w:val="center"/>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pict>
          <v:rect id="_x0000_i1025" style="width:386.3pt;height:1.2pt" o:hralign="center" o:hrstd="t" o:hr="t" fillcolor="#a0a0a0" stroked="f"/>
        </w:pict>
      </w:r>
    </w:p>
    <w:p w:rsidR="00066ED8" w:rsidRPr="00066ED8" w:rsidRDefault="00066ED8" w:rsidP="00066ED8">
      <w:pPr>
        <w:spacing w:after="360" w:line="360" w:lineRule="atLeast"/>
        <w:rPr>
          <w:rFonts w:asciiTheme="minorHAnsi" w:eastAsiaTheme="minorHAnsi" w:hAnsiTheme="minorHAnsi" w:cstheme="minorHAnsi"/>
          <w:color w:val="333333"/>
          <w:szCs w:val="22"/>
          <w:lang w:eastAsia="en-GB"/>
        </w:rPr>
      </w:pPr>
      <w:r w:rsidRPr="00066ED8">
        <w:rPr>
          <w:rFonts w:asciiTheme="minorHAnsi" w:hAnsiTheme="minorHAnsi" w:cstheme="minorHAnsi"/>
          <w:color w:val="333333"/>
          <w:szCs w:val="22"/>
          <w:lang w:eastAsia="en-GB"/>
        </w:rPr>
        <w:t xml:space="preserve">The high accuracy of our IG counting method provides a valuable tool for physicians for concluding diagnoses or requesting further patient investigation. </w:t>
      </w:r>
    </w:p>
    <w:p w:rsidR="00066ED8" w:rsidRPr="00066ED8" w:rsidRDefault="00066ED8" w:rsidP="00066ED8">
      <w:pPr>
        <w:jc w:val="center"/>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pict>
          <v:rect id="_x0000_i1026" style="width:386.3pt;height:1.2pt" o:hralign="center" o:hrstd="t" o:hr="t" fillcolor="#a0a0a0" stroked="f"/>
        </w:pict>
      </w:r>
    </w:p>
    <w:p w:rsidR="00066ED8" w:rsidRPr="00066ED8" w:rsidRDefault="00066ED8" w:rsidP="00066ED8">
      <w:pPr>
        <w:spacing w:after="240" w:line="420" w:lineRule="atLeast"/>
        <w:rPr>
          <w:rFonts w:asciiTheme="minorHAnsi" w:eastAsiaTheme="minorHAnsi" w:hAnsiTheme="minorHAnsi" w:cstheme="minorHAnsi"/>
          <w:b/>
          <w:bCs/>
          <w:color w:val="333333"/>
          <w:szCs w:val="22"/>
          <w:lang w:eastAsia="en-GB"/>
        </w:rPr>
      </w:pPr>
      <w:r w:rsidRPr="00066ED8">
        <w:rPr>
          <w:rFonts w:asciiTheme="minorHAnsi" w:hAnsiTheme="minorHAnsi" w:cstheme="minorHAnsi"/>
          <w:b/>
          <w:bCs/>
          <w:color w:val="333333"/>
          <w:szCs w:val="22"/>
          <w:lang w:eastAsia="en-GB"/>
        </w:rPr>
        <w:lastRenderedPageBreak/>
        <w:t>Using IG</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The IG count alone does not let you predict sepsis or infection. However, it can </w:t>
      </w:r>
      <w:r w:rsidRPr="00066ED8">
        <w:rPr>
          <w:rFonts w:asciiTheme="minorHAnsi" w:hAnsiTheme="minorHAnsi" w:cstheme="minorHAnsi"/>
          <w:b/>
          <w:bCs/>
          <w:color w:val="333333"/>
          <w:szCs w:val="22"/>
          <w:lang w:eastAsia="en-GB"/>
        </w:rPr>
        <w:t>support diagnosis and prediction together with other parameters</w:t>
      </w:r>
      <w:r w:rsidRPr="00066ED8">
        <w:rPr>
          <w:rFonts w:asciiTheme="minorHAnsi" w:hAnsiTheme="minorHAnsi" w:cstheme="minorHAnsi"/>
          <w:color w:val="333333"/>
          <w:szCs w:val="22"/>
          <w:lang w:eastAsia="en-GB"/>
        </w:rPr>
        <w:t> such as cytokines, interleukins and CRP. It is more useful as a monitoring parameter when the patient has already been diagnosed correctly and is under treatment.</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For blood samples of </w:t>
      </w:r>
      <w:r w:rsidRPr="00066ED8">
        <w:rPr>
          <w:rFonts w:asciiTheme="minorHAnsi" w:hAnsiTheme="minorHAnsi" w:cstheme="minorHAnsi"/>
          <w:b/>
          <w:bCs/>
          <w:color w:val="333333"/>
          <w:szCs w:val="22"/>
          <w:lang w:eastAsia="en-GB"/>
        </w:rPr>
        <w:t>unknown patients</w:t>
      </w:r>
      <w:r w:rsidRPr="00066ED8">
        <w:rPr>
          <w:rFonts w:asciiTheme="minorHAnsi" w:hAnsiTheme="minorHAnsi" w:cstheme="minorHAnsi"/>
          <w:color w:val="333333"/>
          <w:szCs w:val="22"/>
          <w:lang w:eastAsia="en-GB"/>
        </w:rPr>
        <w:t> with an increased IG count, blood smear preparation is still recommended. In </w:t>
      </w:r>
      <w:r w:rsidRPr="00066ED8">
        <w:rPr>
          <w:rFonts w:asciiTheme="minorHAnsi" w:hAnsiTheme="minorHAnsi" w:cstheme="minorHAnsi"/>
          <w:b/>
          <w:bCs/>
          <w:color w:val="333333"/>
          <w:szCs w:val="22"/>
          <w:lang w:eastAsia="en-GB"/>
        </w:rPr>
        <w:t>known patients</w:t>
      </w:r>
      <w:r w:rsidRPr="00066ED8">
        <w:rPr>
          <w:rFonts w:asciiTheme="minorHAnsi" w:hAnsiTheme="minorHAnsi" w:cstheme="minorHAnsi"/>
          <w:color w:val="333333"/>
          <w:szCs w:val="22"/>
          <w:lang w:eastAsia="en-GB"/>
        </w:rPr>
        <w:t>, an automated IG count can avoid the manual review while therapy monitoring infections or inflammation.</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The IG count of paediatric patients, especially premature neonates or neonates younger than seven days, has to be taken with care due to their immature immune systems and the greater number of immature cells in the circulating blood.</w:t>
      </w:r>
    </w:p>
    <w:p w:rsidR="00066ED8" w:rsidRPr="00066ED8" w:rsidRDefault="00066ED8" w:rsidP="00066ED8">
      <w:pPr>
        <w:spacing w:after="360" w:line="360" w:lineRule="atLeast"/>
        <w:rPr>
          <w:rFonts w:asciiTheme="minorHAnsi" w:hAnsiTheme="minorHAnsi" w:cstheme="minorHAnsi"/>
          <w:color w:val="333333"/>
          <w:szCs w:val="22"/>
          <w:lang w:eastAsia="en-GB"/>
        </w:rPr>
      </w:pPr>
      <w:r w:rsidRPr="00066ED8">
        <w:rPr>
          <w:rFonts w:asciiTheme="minorHAnsi" w:hAnsiTheme="minorHAnsi" w:cstheme="minorHAnsi"/>
          <w:color w:val="333333"/>
          <w:szCs w:val="22"/>
          <w:lang w:eastAsia="en-GB"/>
        </w:rPr>
        <w:t>Please see the example report below:</w:t>
      </w:r>
    </w:p>
    <w:p w:rsidR="00066ED8" w:rsidRPr="00066ED8" w:rsidRDefault="00066ED8" w:rsidP="00066ED8">
      <w:pPr>
        <w:rPr>
          <w:rFonts w:asciiTheme="minorHAnsi" w:hAnsiTheme="minorHAnsi" w:cstheme="minorHAnsi"/>
          <w:szCs w:val="22"/>
        </w:rPr>
      </w:pPr>
    </w:p>
    <w:p w:rsidR="00066ED8" w:rsidRDefault="00066ED8" w:rsidP="00066ED8">
      <w:r>
        <w:rPr>
          <w:noProof/>
          <w:lang w:eastAsia="en-GB"/>
        </w:rPr>
        <w:drawing>
          <wp:inline distT="0" distB="0" distL="0" distR="0">
            <wp:extent cx="6573982" cy="3912278"/>
            <wp:effectExtent l="0" t="0" r="0" b="0"/>
            <wp:docPr id="1" name="Picture 1" descr="cid:image001.png@01D7BF4A.BD354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7BF4A.BD3548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574029" cy="3912306"/>
                    </a:xfrm>
                    <a:prstGeom prst="rect">
                      <a:avLst/>
                    </a:prstGeom>
                    <a:noFill/>
                    <a:ln>
                      <a:noFill/>
                    </a:ln>
                  </pic:spPr>
                </pic:pic>
              </a:graphicData>
            </a:graphic>
          </wp:inline>
        </w:drawing>
      </w:r>
    </w:p>
    <w:p w:rsidR="00066ED8" w:rsidRDefault="00066ED8" w:rsidP="00066ED8"/>
    <w:p w:rsidR="00CA6006" w:rsidRPr="00E46670" w:rsidRDefault="00CA6006" w:rsidP="00066ED8">
      <w:pPr>
        <w:jc w:val="center"/>
      </w:pPr>
    </w:p>
    <w:sectPr w:rsidR="00CA6006" w:rsidRPr="00E46670" w:rsidSect="00B70CD0">
      <w:headerReference w:type="default" r:id="rId10"/>
      <w:footerReference w:type="default" r:id="rId11"/>
      <w:pgSz w:w="11906" w:h="16838" w:code="9"/>
      <w:pgMar w:top="1191" w:right="1134" w:bottom="1191" w:left="1134" w:header="397" w:footer="11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267" w:rsidRDefault="00E31267">
      <w:pPr>
        <w:spacing w:after="0"/>
      </w:pPr>
      <w:r>
        <w:separator/>
      </w:r>
    </w:p>
  </w:endnote>
  <w:endnote w:type="continuationSeparator" w:id="0">
    <w:p w:rsidR="00E31267" w:rsidRDefault="00E31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A91" w:rsidRPr="00945DC7" w:rsidRDefault="00EA6A91">
    <w:pPr>
      <w:pStyle w:val="Footer"/>
      <w:jc w:val="right"/>
      <w:rPr>
        <w:sz w:val="16"/>
        <w:szCs w:val="16"/>
      </w:rPr>
    </w:pPr>
    <w:r w:rsidRPr="00945DC7">
      <w:rPr>
        <w:sz w:val="16"/>
        <w:szCs w:val="16"/>
      </w:rPr>
      <w:t xml:space="preserve">Page </w:t>
    </w:r>
    <w:r w:rsidRPr="00945DC7">
      <w:rPr>
        <w:b/>
        <w:bCs/>
        <w:sz w:val="16"/>
        <w:szCs w:val="16"/>
      </w:rPr>
      <w:fldChar w:fldCharType="begin"/>
    </w:r>
    <w:r w:rsidRPr="00945DC7">
      <w:rPr>
        <w:b/>
        <w:bCs/>
        <w:sz w:val="16"/>
        <w:szCs w:val="16"/>
      </w:rPr>
      <w:instrText xml:space="preserve"> PAGE </w:instrText>
    </w:r>
    <w:r w:rsidRPr="00945DC7">
      <w:rPr>
        <w:b/>
        <w:bCs/>
        <w:sz w:val="16"/>
        <w:szCs w:val="16"/>
      </w:rPr>
      <w:fldChar w:fldCharType="separate"/>
    </w:r>
    <w:r w:rsidR="00066ED8">
      <w:rPr>
        <w:b/>
        <w:bCs/>
        <w:noProof/>
        <w:sz w:val="16"/>
        <w:szCs w:val="16"/>
      </w:rPr>
      <w:t>1</w:t>
    </w:r>
    <w:r w:rsidRPr="00945DC7">
      <w:rPr>
        <w:b/>
        <w:bCs/>
        <w:sz w:val="16"/>
        <w:szCs w:val="16"/>
      </w:rPr>
      <w:fldChar w:fldCharType="end"/>
    </w:r>
    <w:r w:rsidRPr="00945DC7">
      <w:rPr>
        <w:sz w:val="16"/>
        <w:szCs w:val="16"/>
      </w:rPr>
      <w:t xml:space="preserve"> of </w:t>
    </w:r>
    <w:r w:rsidRPr="00945DC7">
      <w:rPr>
        <w:b/>
        <w:bCs/>
        <w:sz w:val="16"/>
        <w:szCs w:val="16"/>
      </w:rPr>
      <w:fldChar w:fldCharType="begin"/>
    </w:r>
    <w:r w:rsidRPr="00945DC7">
      <w:rPr>
        <w:b/>
        <w:bCs/>
        <w:sz w:val="16"/>
        <w:szCs w:val="16"/>
      </w:rPr>
      <w:instrText xml:space="preserve"> NUMPAGES  </w:instrText>
    </w:r>
    <w:r w:rsidRPr="00945DC7">
      <w:rPr>
        <w:b/>
        <w:bCs/>
        <w:sz w:val="16"/>
        <w:szCs w:val="16"/>
      </w:rPr>
      <w:fldChar w:fldCharType="separate"/>
    </w:r>
    <w:r w:rsidR="00066ED8">
      <w:rPr>
        <w:b/>
        <w:bCs/>
        <w:noProof/>
        <w:sz w:val="16"/>
        <w:szCs w:val="16"/>
      </w:rPr>
      <w:t>2</w:t>
    </w:r>
    <w:r w:rsidRPr="00945DC7">
      <w:rPr>
        <w:b/>
        <w:bCs/>
        <w:sz w:val="16"/>
        <w:szCs w:val="16"/>
      </w:rPr>
      <w:fldChar w:fldCharType="end"/>
    </w:r>
  </w:p>
  <w:p w:rsidR="00EA6A91" w:rsidRDefault="00EA6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267" w:rsidRDefault="00E31267">
      <w:pPr>
        <w:spacing w:after="0"/>
      </w:pPr>
      <w:r>
        <w:separator/>
      </w:r>
    </w:p>
  </w:footnote>
  <w:footnote w:type="continuationSeparator" w:id="0">
    <w:p w:rsidR="00E31267" w:rsidRDefault="00E312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ED8" w:rsidRDefault="00851C05" w:rsidP="00945DC7">
    <w:pPr>
      <w:pStyle w:val="Header"/>
      <w:ind w:left="-567"/>
      <w:rPr>
        <w:sz w:val="16"/>
        <w:szCs w:val="16"/>
      </w:rPr>
    </w:pPr>
    <w:r>
      <w:rPr>
        <w:noProof/>
        <w:sz w:val="16"/>
        <w:szCs w:val="16"/>
        <w:lang w:eastAsia="en-GB"/>
      </w:rPr>
      <w:drawing>
        <wp:anchor distT="0" distB="0" distL="114300" distR="114300" simplePos="0" relativeHeight="251658240" behindDoc="1" locked="0" layoutInCell="1" allowOverlap="1" wp14:anchorId="68C4EB7A" wp14:editId="658A85E1">
          <wp:simplePos x="0" y="0"/>
          <wp:positionH relativeFrom="column">
            <wp:posOffset>5020310</wp:posOffset>
          </wp:positionH>
          <wp:positionV relativeFrom="paragraph">
            <wp:posOffset>-237490</wp:posOffset>
          </wp:positionV>
          <wp:extent cx="1762760" cy="985520"/>
          <wp:effectExtent l="0" t="0" r="8890" b="5080"/>
          <wp:wrapTight wrapText="bothSides">
            <wp:wrapPolygon edited="0">
              <wp:start x="0" y="0"/>
              <wp:lineTo x="0" y="21294"/>
              <wp:lineTo x="21476" y="21294"/>
              <wp:lineTo x="21476"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760" cy="985520"/>
                  </a:xfrm>
                  <a:prstGeom prst="rect">
                    <a:avLst/>
                  </a:prstGeom>
                  <a:noFill/>
                </pic:spPr>
              </pic:pic>
            </a:graphicData>
          </a:graphic>
          <wp14:sizeRelH relativeFrom="page">
            <wp14:pctWidth>0</wp14:pctWidth>
          </wp14:sizeRelH>
          <wp14:sizeRelV relativeFrom="page">
            <wp14:pctHeight>0</wp14:pctHeight>
          </wp14:sizeRelV>
        </wp:anchor>
      </w:drawing>
    </w:r>
    <w:r w:rsidR="00CA5304">
      <w:rPr>
        <w:sz w:val="16"/>
        <w:szCs w:val="16"/>
      </w:rPr>
      <w:t>Speciality</w:t>
    </w:r>
    <w:r w:rsidR="00864EB7">
      <w:rPr>
        <w:sz w:val="16"/>
        <w:szCs w:val="16"/>
      </w:rPr>
      <w:t>/Department</w:t>
    </w:r>
    <w:r w:rsidR="00CA5304">
      <w:rPr>
        <w:sz w:val="16"/>
        <w:szCs w:val="16"/>
      </w:rPr>
      <w:t xml:space="preserve">: </w:t>
    </w:r>
    <w:r w:rsidR="00066ED8">
      <w:rPr>
        <w:sz w:val="16"/>
        <w:szCs w:val="16"/>
      </w:rPr>
      <w:t>Haematology</w:t>
    </w:r>
    <w:r w:rsidR="00864EB7">
      <w:rPr>
        <w:sz w:val="16"/>
        <w:szCs w:val="16"/>
      </w:rPr>
      <w:t xml:space="preserve"> </w:t>
    </w:r>
  </w:p>
  <w:p w:rsidR="00302DE8" w:rsidRPr="00945DC7" w:rsidRDefault="00CA5304" w:rsidP="00945DC7">
    <w:pPr>
      <w:pStyle w:val="Header"/>
      <w:ind w:left="-567"/>
      <w:rPr>
        <w:sz w:val="16"/>
        <w:szCs w:val="16"/>
      </w:rPr>
    </w:pPr>
    <w:r>
      <w:rPr>
        <w:sz w:val="16"/>
        <w:szCs w:val="16"/>
      </w:rPr>
      <w:t>Location</w:t>
    </w:r>
    <w:r w:rsidR="00302DE8" w:rsidRPr="00945DC7">
      <w:rPr>
        <w:sz w:val="16"/>
        <w:szCs w:val="16"/>
      </w:rPr>
      <w:t>:</w:t>
    </w:r>
    <w:r w:rsidR="00066ED8">
      <w:rPr>
        <w:sz w:val="16"/>
        <w:szCs w:val="16"/>
      </w:rPr>
      <w:t xml:space="preserve"> On the lab med website</w:t>
    </w:r>
  </w:p>
  <w:p w:rsidR="00066ED8" w:rsidRDefault="00B255B9" w:rsidP="00945DC7">
    <w:pPr>
      <w:pStyle w:val="Header"/>
      <w:ind w:left="-567"/>
      <w:rPr>
        <w:sz w:val="16"/>
        <w:szCs w:val="16"/>
      </w:rPr>
    </w:pPr>
    <w:r w:rsidRPr="00945DC7">
      <w:rPr>
        <w:sz w:val="16"/>
        <w:szCs w:val="16"/>
      </w:rPr>
      <w:t>Filename: LM-</w:t>
    </w:r>
    <w:r w:rsidR="00066ED8">
      <w:rPr>
        <w:sz w:val="16"/>
        <w:szCs w:val="16"/>
      </w:rPr>
      <w:t>INF-IGCOUNT</w:t>
    </w:r>
  </w:p>
  <w:p w:rsidR="00302DE8" w:rsidRPr="00945DC7" w:rsidRDefault="00851C05" w:rsidP="00945DC7">
    <w:pPr>
      <w:pStyle w:val="Header"/>
      <w:ind w:left="-567"/>
      <w:rPr>
        <w:sz w:val="16"/>
        <w:szCs w:val="16"/>
      </w:rPr>
    </w:pPr>
    <w:r>
      <w:rPr>
        <w:sz w:val="16"/>
        <w:szCs w:val="16"/>
      </w:rPr>
      <w:t xml:space="preserve">Version: </w:t>
    </w:r>
    <w:r w:rsidR="00066ED8">
      <w:rPr>
        <w:sz w:val="16"/>
        <w:szCs w:val="16"/>
      </w:rPr>
      <w:t>1</w:t>
    </w:r>
    <w:r w:rsidR="00302DE8" w:rsidRPr="00945DC7">
      <w:rPr>
        <w:sz w:val="16"/>
        <w:szCs w:val="16"/>
      </w:rPr>
      <w:t>.0</w:t>
    </w:r>
  </w:p>
  <w:p w:rsidR="00302DE8" w:rsidRPr="00945DC7" w:rsidRDefault="00302DE8" w:rsidP="00945DC7">
    <w:pPr>
      <w:pStyle w:val="Header"/>
      <w:ind w:left="-567"/>
      <w:rPr>
        <w:sz w:val="16"/>
        <w:szCs w:val="16"/>
      </w:rPr>
    </w:pPr>
    <w:r w:rsidRPr="00945DC7">
      <w:rPr>
        <w:sz w:val="16"/>
        <w:szCs w:val="16"/>
      </w:rPr>
      <w:t>Date of I</w:t>
    </w:r>
    <w:r w:rsidR="00945DC7" w:rsidRPr="00945DC7">
      <w:rPr>
        <w:sz w:val="16"/>
        <w:szCs w:val="16"/>
      </w:rPr>
      <w:t>ss</w:t>
    </w:r>
    <w:r w:rsidR="00066ED8">
      <w:rPr>
        <w:sz w:val="16"/>
        <w:szCs w:val="16"/>
      </w:rPr>
      <w:t>ue: October</w:t>
    </w:r>
    <w:r w:rsidR="00851C05">
      <w:rPr>
        <w:sz w:val="16"/>
        <w:szCs w:val="16"/>
      </w:rPr>
      <w:t xml:space="preserve"> 2021</w:t>
    </w:r>
  </w:p>
  <w:p w:rsidR="00EA6A91" w:rsidRPr="00945DC7" w:rsidRDefault="00851C05" w:rsidP="00945DC7">
    <w:pPr>
      <w:pStyle w:val="Header"/>
      <w:ind w:left="-567"/>
      <w:rPr>
        <w:sz w:val="16"/>
        <w:szCs w:val="16"/>
      </w:rPr>
    </w:pPr>
    <w:r>
      <w:rPr>
        <w:sz w:val="16"/>
        <w:szCs w:val="16"/>
      </w:rPr>
      <w:t xml:space="preserve">Approved by: </w:t>
    </w:r>
    <w:r w:rsidR="00066ED8">
      <w:rPr>
        <w:sz w:val="16"/>
        <w:szCs w:val="16"/>
      </w:rPr>
      <w:t>R. Adams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57D7"/>
    <w:multiLevelType w:val="multilevel"/>
    <w:tmpl w:val="91E43FE6"/>
    <w:lvl w:ilvl="0">
      <w:start w:val="1"/>
      <w:numFmt w:val="decimal"/>
      <w:lvlText w:val="%1"/>
      <w:lvlJc w:val="left"/>
      <w:pPr>
        <w:tabs>
          <w:tab w:val="num" w:pos="432"/>
        </w:tabs>
        <w:ind w:left="432" w:hanging="432"/>
      </w:pPr>
      <w:rPr>
        <w:rFonts w:ascii="Arial" w:hAnsi="Arial" w:hint="default"/>
        <w:b/>
        <w:i w:val="0"/>
        <w:sz w:val="22"/>
        <w:szCs w:val="22"/>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Arial" w:hAnsi="Arial" w:hint="default"/>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06"/>
    <w:rsid w:val="00066ED8"/>
    <w:rsid w:val="00162687"/>
    <w:rsid w:val="002E5CD4"/>
    <w:rsid w:val="00302DE8"/>
    <w:rsid w:val="00416FC1"/>
    <w:rsid w:val="0045480B"/>
    <w:rsid w:val="00642B14"/>
    <w:rsid w:val="00766CB3"/>
    <w:rsid w:val="00851C05"/>
    <w:rsid w:val="00864EB7"/>
    <w:rsid w:val="00882288"/>
    <w:rsid w:val="008E3BF1"/>
    <w:rsid w:val="00945DC7"/>
    <w:rsid w:val="00A470DF"/>
    <w:rsid w:val="00B255B9"/>
    <w:rsid w:val="00B70CD0"/>
    <w:rsid w:val="00B97313"/>
    <w:rsid w:val="00C13174"/>
    <w:rsid w:val="00CA5304"/>
    <w:rsid w:val="00CA6006"/>
    <w:rsid w:val="00CD338C"/>
    <w:rsid w:val="00CF3567"/>
    <w:rsid w:val="00E04F10"/>
    <w:rsid w:val="00E31267"/>
    <w:rsid w:val="00E42452"/>
    <w:rsid w:val="00E46670"/>
    <w:rsid w:val="00E53E03"/>
    <w:rsid w:val="00EA6A91"/>
    <w:rsid w:val="00EB1CB6"/>
    <w:rsid w:val="00F44BFD"/>
    <w:rsid w:val="00F51D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066ED8"/>
    <w:pPr>
      <w:spacing w:after="0"/>
    </w:pPr>
    <w:rPr>
      <w:rFonts w:ascii="Tahoma" w:hAnsi="Tahoma" w:cs="Tahoma"/>
      <w:sz w:val="16"/>
      <w:szCs w:val="16"/>
    </w:rPr>
  </w:style>
  <w:style w:type="character" w:customStyle="1" w:styleId="BalloonTextChar">
    <w:name w:val="Balloon Text Char"/>
    <w:basedOn w:val="DefaultParagraphFont"/>
    <w:link w:val="BalloonText"/>
    <w:rsid w:val="00066ED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006"/>
    <w:pPr>
      <w:spacing w:after="120"/>
    </w:pPr>
    <w:rPr>
      <w:rFonts w:ascii="Arial" w:hAnsi="Arial"/>
      <w:sz w:val="22"/>
      <w:lang w:eastAsia="en-US"/>
    </w:rPr>
  </w:style>
  <w:style w:type="paragraph" w:styleId="Heading1">
    <w:name w:val="heading 1"/>
    <w:basedOn w:val="Normal"/>
    <w:next w:val="Normal"/>
    <w:autoRedefine/>
    <w:qFormat/>
    <w:rsid w:val="00EB1CB6"/>
    <w:pPr>
      <w:keepNext/>
      <w:spacing w:before="240"/>
      <w:jc w:val="both"/>
      <w:outlineLvl w:val="0"/>
    </w:pPr>
    <w:rPr>
      <w:rFonts w:cs="Arial"/>
      <w:b/>
      <w:sz w:val="24"/>
      <w:lang w:val="en-US"/>
    </w:rPr>
  </w:style>
  <w:style w:type="paragraph" w:styleId="Heading2">
    <w:name w:val="heading 2"/>
    <w:basedOn w:val="Normal"/>
    <w:next w:val="Normal"/>
    <w:autoRedefine/>
    <w:qFormat/>
    <w:rsid w:val="00CA6006"/>
    <w:pPr>
      <w:keepNext/>
      <w:numPr>
        <w:ilvl w:val="1"/>
        <w:numId w:val="1"/>
      </w:numPr>
      <w:spacing w:before="120" w:after="60"/>
      <w:ind w:left="578" w:hanging="578"/>
      <w:outlineLvl w:val="1"/>
    </w:pPr>
    <w:rPr>
      <w:rFonts w:cs="Arial"/>
      <w:szCs w:val="22"/>
    </w:rPr>
  </w:style>
  <w:style w:type="paragraph" w:styleId="Heading3">
    <w:name w:val="heading 3"/>
    <w:basedOn w:val="Normal"/>
    <w:next w:val="Normal"/>
    <w:autoRedefine/>
    <w:qFormat/>
    <w:rsid w:val="00CA6006"/>
    <w:pPr>
      <w:keepNext/>
      <w:numPr>
        <w:ilvl w:val="2"/>
        <w:numId w:val="1"/>
      </w:numPr>
      <w:spacing w:before="120" w:after="60"/>
      <w:outlineLvl w:val="2"/>
    </w:pPr>
    <w:rPr>
      <w:szCs w:val="22"/>
    </w:rPr>
  </w:style>
  <w:style w:type="paragraph" w:styleId="Heading4">
    <w:name w:val="heading 4"/>
    <w:basedOn w:val="Normal"/>
    <w:next w:val="Normal"/>
    <w:qFormat/>
    <w:rsid w:val="00CA6006"/>
    <w:pPr>
      <w:keepNext/>
      <w:numPr>
        <w:ilvl w:val="3"/>
        <w:numId w:val="1"/>
      </w:numPr>
      <w:spacing w:before="240" w:after="60"/>
      <w:outlineLvl w:val="3"/>
    </w:pPr>
    <w:rPr>
      <w:b/>
      <w:sz w:val="24"/>
    </w:rPr>
  </w:style>
  <w:style w:type="paragraph" w:styleId="Heading6">
    <w:name w:val="heading 6"/>
    <w:basedOn w:val="Normal"/>
    <w:next w:val="Normal"/>
    <w:qFormat/>
    <w:rsid w:val="00CA6006"/>
    <w:pPr>
      <w:keepNext/>
      <w:numPr>
        <w:ilvl w:val="5"/>
        <w:numId w:val="1"/>
      </w:numPr>
      <w:jc w:val="center"/>
      <w:outlineLvl w:val="5"/>
    </w:pPr>
    <w:rPr>
      <w:sz w:val="44"/>
    </w:rPr>
  </w:style>
  <w:style w:type="paragraph" w:styleId="Heading7">
    <w:name w:val="heading 7"/>
    <w:basedOn w:val="Normal"/>
    <w:next w:val="Normal"/>
    <w:qFormat/>
    <w:rsid w:val="00CA6006"/>
    <w:pPr>
      <w:numPr>
        <w:ilvl w:val="6"/>
        <w:numId w:val="1"/>
      </w:numPr>
      <w:spacing w:before="240" w:after="60"/>
      <w:outlineLvl w:val="6"/>
    </w:pPr>
    <w:rPr>
      <w:sz w:val="24"/>
      <w:szCs w:val="24"/>
    </w:rPr>
  </w:style>
  <w:style w:type="paragraph" w:styleId="Heading8">
    <w:name w:val="heading 8"/>
    <w:basedOn w:val="Normal"/>
    <w:next w:val="Normal"/>
    <w:qFormat/>
    <w:rsid w:val="00CA6006"/>
    <w:pPr>
      <w:numPr>
        <w:ilvl w:val="7"/>
        <w:numId w:val="1"/>
      </w:numPr>
      <w:spacing w:before="240" w:after="60"/>
      <w:outlineLvl w:val="7"/>
    </w:pPr>
    <w:rPr>
      <w:i/>
      <w:iCs/>
      <w:sz w:val="24"/>
      <w:szCs w:val="24"/>
    </w:rPr>
  </w:style>
  <w:style w:type="paragraph" w:styleId="Heading9">
    <w:name w:val="heading 9"/>
    <w:basedOn w:val="Normal"/>
    <w:next w:val="Normal"/>
    <w:qFormat/>
    <w:rsid w:val="00CA6006"/>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600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1CB6"/>
    <w:pPr>
      <w:tabs>
        <w:tab w:val="center" w:pos="4153"/>
        <w:tab w:val="right" w:pos="8306"/>
      </w:tabs>
      <w:spacing w:after="0"/>
    </w:pPr>
    <w:rPr>
      <w:sz w:val="24"/>
      <w:szCs w:val="24"/>
    </w:rPr>
  </w:style>
  <w:style w:type="paragraph" w:styleId="Footer">
    <w:name w:val="footer"/>
    <w:basedOn w:val="Normal"/>
    <w:link w:val="FooterChar"/>
    <w:uiPriority w:val="99"/>
    <w:rsid w:val="00EA6A91"/>
    <w:pPr>
      <w:tabs>
        <w:tab w:val="center" w:pos="4513"/>
        <w:tab w:val="right" w:pos="9026"/>
      </w:tabs>
    </w:pPr>
  </w:style>
  <w:style w:type="character" w:customStyle="1" w:styleId="FooterChar">
    <w:name w:val="Footer Char"/>
    <w:link w:val="Footer"/>
    <w:uiPriority w:val="99"/>
    <w:rsid w:val="00EA6A91"/>
    <w:rPr>
      <w:rFonts w:ascii="Arial" w:hAnsi="Arial"/>
      <w:sz w:val="22"/>
      <w:lang w:eastAsia="en-US"/>
    </w:rPr>
  </w:style>
  <w:style w:type="character" w:customStyle="1" w:styleId="HeaderChar">
    <w:name w:val="Header Char"/>
    <w:link w:val="Header"/>
    <w:uiPriority w:val="99"/>
    <w:rsid w:val="00EA6A91"/>
    <w:rPr>
      <w:rFonts w:ascii="Arial" w:hAnsi="Arial"/>
      <w:sz w:val="24"/>
      <w:szCs w:val="24"/>
      <w:lang w:eastAsia="en-US"/>
    </w:rPr>
  </w:style>
  <w:style w:type="paragraph" w:styleId="BalloonText">
    <w:name w:val="Balloon Text"/>
    <w:basedOn w:val="Normal"/>
    <w:link w:val="BalloonTextChar"/>
    <w:rsid w:val="00066ED8"/>
    <w:pPr>
      <w:spacing w:after="0"/>
    </w:pPr>
    <w:rPr>
      <w:rFonts w:ascii="Tahoma" w:hAnsi="Tahoma" w:cs="Tahoma"/>
      <w:sz w:val="16"/>
      <w:szCs w:val="16"/>
    </w:rPr>
  </w:style>
  <w:style w:type="character" w:customStyle="1" w:styleId="BalloonTextChar">
    <w:name w:val="Balloon Text Char"/>
    <w:basedOn w:val="DefaultParagraphFont"/>
    <w:link w:val="BalloonText"/>
    <w:rsid w:val="00066ED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65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7BF4A.BD3548F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Directorate of Laboratory Medicine/ Scarborough Transfusion Dept</vt:lpstr>
    </vt:vector>
  </TitlesOfParts>
  <Company>Scarborough NHS Trust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Directorate of Laboratory Medicine/ Scarborough Transfusion Dept</dc:title>
  <dc:creator>jdavy</dc:creator>
  <cp:lastModifiedBy>Lovie, Rick</cp:lastModifiedBy>
  <cp:revision>2</cp:revision>
  <dcterms:created xsi:type="dcterms:W3CDTF">2021-10-14T08:36:00Z</dcterms:created>
  <dcterms:modified xsi:type="dcterms:W3CDTF">2021-10-14T08:36:00Z</dcterms:modified>
</cp:coreProperties>
</file>