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BF25D" w14:textId="77777777" w:rsidR="005A1EE2" w:rsidRPr="008246CD" w:rsidRDefault="005A1EE2" w:rsidP="005A1EE2">
      <w:pPr>
        <w:pStyle w:val="Heading1"/>
      </w:pPr>
      <w:r w:rsidRPr="008246CD">
        <w:t>Changes to York and Scarborough Immunology Laboratory Service</w:t>
      </w:r>
    </w:p>
    <w:p w14:paraId="0DDDA7B7" w14:textId="77777777" w:rsidR="005A1EE2" w:rsidRPr="00D57C5E" w:rsidRDefault="005A1EE2" w:rsidP="005A1EE2">
      <w:r w:rsidRPr="00D57C5E">
        <w:t xml:space="preserve">Following the formation of the combined Scarborough, </w:t>
      </w:r>
      <w:proofErr w:type="gramStart"/>
      <w:r w:rsidRPr="00D57C5E">
        <w:t>Hull</w:t>
      </w:r>
      <w:proofErr w:type="gramEnd"/>
      <w:r w:rsidRPr="00D57C5E">
        <w:t xml:space="preserve"> and York Pathology Service (SHYPS), the Immunology laboratory service has been consolidated onto a single site within the Blood Sciences Department at Hull Royal Infirmary.</w:t>
      </w:r>
    </w:p>
    <w:p w14:paraId="0B77C75D" w14:textId="77777777" w:rsidR="005A1EE2" w:rsidRDefault="005A1EE2" w:rsidP="005A1EE2">
      <w:r>
        <w:t xml:space="preserve">Many elements of the Immunology of the service offered in York and now tested in Hull are the same but the main differences are highlighted below: </w:t>
      </w:r>
    </w:p>
    <w:p w14:paraId="0D27F0E3" w14:textId="77777777" w:rsidR="005A1EE2" w:rsidRDefault="005A1EE2" w:rsidP="005A1EE2"/>
    <w:p w14:paraId="5050ED7C" w14:textId="77777777" w:rsidR="005A1EE2" w:rsidRPr="005A1EE2" w:rsidRDefault="005A1EE2" w:rsidP="005A1EE2">
      <w:pPr>
        <w:pStyle w:val="Heading2"/>
        <w:numPr>
          <w:ilvl w:val="0"/>
          <w:numId w:val="0"/>
        </w:numPr>
      </w:pPr>
      <w:r w:rsidRPr="005A1EE2">
        <w:t xml:space="preserve">Tests for Anti-nuclear antibody (ANA) *Please note updated Aptiva multiplex screen and reference ranges in place form 9.10.2023 – see </w:t>
      </w:r>
      <w:proofErr w:type="gramStart"/>
      <w:r w:rsidRPr="005A1EE2">
        <w:t>Appendix</w:t>
      </w:r>
      <w:proofErr w:type="gramEnd"/>
    </w:p>
    <w:p w14:paraId="4BB390A7" w14:textId="77777777" w:rsidR="005A1EE2" w:rsidRDefault="005A1EE2" w:rsidP="005A1EE2">
      <w:r>
        <w:t xml:space="preserve">Previously in York, ANA were screened using indirect immunofluorescence.  If positive, specific ANA antibodies were reflex tested by the laboratory.  </w:t>
      </w:r>
      <w:proofErr w:type="gramStart"/>
      <w:r>
        <w:t>These included dsDNA antibody</w:t>
      </w:r>
      <w:proofErr w:type="gramEnd"/>
      <w:r>
        <w:t xml:space="preserve"> and a panel of ENA antibodies (extractable nuclear antigens, </w:t>
      </w:r>
      <w:proofErr w:type="spellStart"/>
      <w:r>
        <w:t>eg</w:t>
      </w:r>
      <w:proofErr w:type="spellEnd"/>
      <w:r>
        <w:t xml:space="preserve"> Ro, La, </w:t>
      </w:r>
      <w:proofErr w:type="spellStart"/>
      <w:r>
        <w:t>Sm</w:t>
      </w:r>
      <w:proofErr w:type="spellEnd"/>
      <w:r>
        <w:t>, RNP, Scl-70 and Jo-1).</w:t>
      </w:r>
    </w:p>
    <w:p w14:paraId="42C13201" w14:textId="77777777" w:rsidR="005A1EE2" w:rsidRDefault="005A1EE2" w:rsidP="005A1EE2">
      <w:r>
        <w:t>In Hull, samples are screened for ANA using particle-based m</w:t>
      </w:r>
      <w:r w:rsidRPr="009C5509">
        <w:t>ulti-</w:t>
      </w:r>
      <w:r>
        <w:t>analyte t</w:t>
      </w:r>
      <w:r w:rsidRPr="009C5509">
        <w:t>echnology</w:t>
      </w:r>
      <w:r>
        <w:t xml:space="preserve"> (PMAT, multiplex) on the </w:t>
      </w:r>
      <w:proofErr w:type="spellStart"/>
      <w:r>
        <w:t>Werfen</w:t>
      </w:r>
      <w:proofErr w:type="spellEnd"/>
      <w:r>
        <w:t xml:space="preserve"> Aptiva analyser.  The </w:t>
      </w:r>
      <w:proofErr w:type="spellStart"/>
      <w:r>
        <w:t>Werfen</w:t>
      </w:r>
      <w:proofErr w:type="spellEnd"/>
      <w:r>
        <w:t xml:space="preserve"> Aptiva ANA assay can </w:t>
      </w:r>
      <w:r w:rsidRPr="00AB623F">
        <w:t>simultaneously detect the presence of autoantibodies to the following autoantigen specificities: DNA, Ro (SS-A) 6</w:t>
      </w:r>
      <w:r>
        <w:t xml:space="preserve">0, Ro (SS-A) 52, La (SS-B), </w:t>
      </w:r>
      <w:proofErr w:type="spellStart"/>
      <w:r>
        <w:t>Sm</w:t>
      </w:r>
      <w:proofErr w:type="spellEnd"/>
      <w:r>
        <w:t>,</w:t>
      </w:r>
      <w:r w:rsidRPr="00AB623F">
        <w:t xml:space="preserve"> RNP, Scl</w:t>
      </w:r>
      <w:r>
        <w:t xml:space="preserve">-70, Jo-1, centromere (CENP-B) </w:t>
      </w:r>
      <w:r w:rsidRPr="00AB623F">
        <w:t>and ribosomal P.</w:t>
      </w:r>
      <w:r>
        <w:t xml:space="preserve">  These specific ANA have greater association with connective tissue diseases.   The reference ranges and units for ENA will change.</w:t>
      </w:r>
    </w:p>
    <w:p w14:paraId="08A83A51" w14:textId="77777777" w:rsidR="005A1EE2" w:rsidRDefault="005A1EE2" w:rsidP="005A1EE2">
      <w:r>
        <w:t xml:space="preserve">We have implemented a borderline range for the following autoantibody specificities: </w:t>
      </w:r>
    </w:p>
    <w:p w14:paraId="38D1E2C2" w14:textId="77777777" w:rsidR="005A1EE2" w:rsidRDefault="005A1EE2" w:rsidP="005A1EE2">
      <w:pPr>
        <w:pStyle w:val="ListParagraph"/>
        <w:numPr>
          <w:ilvl w:val="0"/>
          <w:numId w:val="2"/>
        </w:numPr>
      </w:pPr>
      <w:r>
        <w:t xml:space="preserve">Borderline Ro, La, </w:t>
      </w:r>
      <w:proofErr w:type="spellStart"/>
      <w:r>
        <w:t>Sm</w:t>
      </w:r>
      <w:proofErr w:type="spellEnd"/>
      <w:r>
        <w:t>, RNP, and Jo-1 will have confirmatory ENA immunoblot.</w:t>
      </w:r>
    </w:p>
    <w:p w14:paraId="66F50231" w14:textId="77777777" w:rsidR="005A1EE2" w:rsidRDefault="005A1EE2" w:rsidP="005A1EE2">
      <w:r>
        <w:t xml:space="preserve">In rare instances where there is a strong clinical suspicion of underlying systemic autoimmune disease, but where the autoimmune screen by multiplex analyser produces a negative result, we can perform additional ANA testing by indirect immunofluorescence.  If these are required clinically, arrangements can be made after discussion with the Immunology laboratory in </w:t>
      </w:r>
      <w:proofErr w:type="gramStart"/>
      <w:r>
        <w:t>Hull</w:t>
      </w:r>
      <w:proofErr w:type="gramEnd"/>
      <w:r>
        <w:t xml:space="preserve"> </w:t>
      </w:r>
    </w:p>
    <w:p w14:paraId="60620A35" w14:textId="77777777" w:rsidR="005A1EE2" w:rsidRDefault="005A1EE2" w:rsidP="005A1EE2">
      <w:r>
        <w:t>Please see the separate advice document for advice on requesting and interpretation of ANA results.</w:t>
      </w:r>
    </w:p>
    <w:p w14:paraId="2C2E8F7D" w14:textId="77777777" w:rsidR="005A1EE2" w:rsidRDefault="005A1EE2" w:rsidP="005A1EE2"/>
    <w:p w14:paraId="11436808" w14:textId="77777777" w:rsidR="005A1EE2" w:rsidRDefault="005A1EE2" w:rsidP="005A1EE2">
      <w:pPr>
        <w:pStyle w:val="Heading2"/>
        <w:numPr>
          <w:ilvl w:val="0"/>
          <w:numId w:val="0"/>
        </w:numPr>
      </w:pPr>
      <w:r w:rsidRPr="008246CD">
        <w:t>Testing for Coeliac Disease</w:t>
      </w:r>
    </w:p>
    <w:p w14:paraId="61FAC888" w14:textId="77777777" w:rsidR="005A1EE2" w:rsidRDefault="005A1EE2" w:rsidP="005A1EE2">
      <w:r>
        <w:t>Patients with suspected Coeliac disease will be tested for IgA anti-tissue transglutaminase (</w:t>
      </w:r>
      <w:proofErr w:type="spellStart"/>
      <w:r>
        <w:t>tTG</w:t>
      </w:r>
      <w:proofErr w:type="spellEnd"/>
      <w:r>
        <w:t xml:space="preserve">) antibody on the </w:t>
      </w:r>
      <w:proofErr w:type="spellStart"/>
      <w:r>
        <w:t>Werfen</w:t>
      </w:r>
      <w:proofErr w:type="spellEnd"/>
      <w:r>
        <w:t xml:space="preserve"> Aptiva analyser.  This method contains an integral IgA verification test which will flag any samples that are potentially IgA deficient.  It is therefore unnecessary to request immunoglobulins when screening for Coeliac disease.  </w:t>
      </w:r>
    </w:p>
    <w:p w14:paraId="6CEBEA23" w14:textId="77777777" w:rsidR="005A1EE2" w:rsidRDefault="005A1EE2" w:rsidP="005A1EE2">
      <w:r>
        <w:t xml:space="preserve">The Aptiva IgA </w:t>
      </w:r>
      <w:proofErr w:type="spellStart"/>
      <w:r>
        <w:t>tTG</w:t>
      </w:r>
      <w:proofErr w:type="spellEnd"/>
      <w:r>
        <w:t xml:space="preserve"> Ab test has a different normal range and reporting units to those previously reported by York.</w:t>
      </w:r>
      <w:r w:rsidRPr="0060242F">
        <w:t xml:space="preserve"> </w:t>
      </w:r>
    </w:p>
    <w:p w14:paraId="31822DA9" w14:textId="77777777" w:rsidR="005A1EE2" w:rsidRDefault="005A1EE2" w:rsidP="005A1EE2">
      <w:r>
        <w:t xml:space="preserve">In children 4 years of age and under, requests for coeliac screen in these patients will also generate IgG </w:t>
      </w:r>
      <w:proofErr w:type="spellStart"/>
      <w:r>
        <w:t>tTG</w:t>
      </w:r>
      <w:proofErr w:type="spellEnd"/>
      <w:r>
        <w:t xml:space="preserve"> Ab request.  These tests will be automatically requested in the laboratory.</w:t>
      </w:r>
    </w:p>
    <w:p w14:paraId="6A1E8A6D" w14:textId="77777777" w:rsidR="005A1EE2" w:rsidRDefault="005A1EE2" w:rsidP="005A1EE2">
      <w:pPr>
        <w:pStyle w:val="Heading2"/>
        <w:numPr>
          <w:ilvl w:val="0"/>
          <w:numId w:val="0"/>
        </w:numPr>
      </w:pPr>
    </w:p>
    <w:p w14:paraId="30B1763A" w14:textId="77777777" w:rsidR="005A1EE2" w:rsidRDefault="005A1EE2" w:rsidP="005A1EE2">
      <w:pPr>
        <w:pStyle w:val="Heading2"/>
        <w:numPr>
          <w:ilvl w:val="0"/>
          <w:numId w:val="0"/>
        </w:numPr>
      </w:pPr>
    </w:p>
    <w:p w14:paraId="231167DD" w14:textId="77777777" w:rsidR="005A1EE2" w:rsidRDefault="005A1EE2" w:rsidP="005A1EE2">
      <w:pPr>
        <w:pStyle w:val="Heading2"/>
        <w:numPr>
          <w:ilvl w:val="0"/>
          <w:numId w:val="0"/>
        </w:numPr>
      </w:pPr>
      <w:r>
        <w:t>Anti-CCP Antibody and Rheumatoid Factor</w:t>
      </w:r>
    </w:p>
    <w:p w14:paraId="6DCA4620" w14:textId="77777777" w:rsidR="005A1EE2" w:rsidRDefault="005A1EE2" w:rsidP="005A1EE2">
      <w:r>
        <w:t>CCP</w:t>
      </w:r>
    </w:p>
    <w:p w14:paraId="03F1265A" w14:textId="77777777" w:rsidR="005A1EE2" w:rsidRDefault="005A1EE2" w:rsidP="005A1EE2">
      <w:r>
        <w:t>The same methodology is used for testing Anti-CCP Ab in Hull as previously used in York.</w:t>
      </w:r>
    </w:p>
    <w:p w14:paraId="5558ED63" w14:textId="77777777" w:rsidR="005A1EE2" w:rsidRDefault="005A1EE2" w:rsidP="005A1EE2">
      <w:r>
        <w:t>Hull report an indeterminant range between 10-19 CU.  Positive CCP Ab are 20 CU and above as previously reported by York.</w:t>
      </w:r>
    </w:p>
    <w:p w14:paraId="4F97CCA0" w14:textId="77777777" w:rsidR="005A1EE2" w:rsidRPr="00C95E26" w:rsidRDefault="005A1EE2" w:rsidP="005A1EE2">
      <w:r>
        <w:t xml:space="preserve">Rheumatoid factor will be tested on the Beckman chemistry analysers in Hull.  The reference range will change from &lt;5 IU/mL to </w:t>
      </w:r>
      <w:r w:rsidRPr="00C95E26">
        <w:rPr>
          <w:b/>
        </w:rPr>
        <w:t>&lt;15 IU/</w:t>
      </w:r>
      <w:proofErr w:type="spellStart"/>
      <w:r w:rsidRPr="00C95E26">
        <w:rPr>
          <w:b/>
        </w:rPr>
        <w:t>mL</w:t>
      </w:r>
      <w:r>
        <w:t>.</w:t>
      </w:r>
      <w:proofErr w:type="spellEnd"/>
    </w:p>
    <w:p w14:paraId="0D91F1EA" w14:textId="77777777" w:rsidR="005A1EE2" w:rsidRDefault="005A1EE2" w:rsidP="005A1EE2"/>
    <w:p w14:paraId="32FA650A" w14:textId="77777777" w:rsidR="005A1EE2" w:rsidRDefault="005A1EE2" w:rsidP="005A1EE2">
      <w:r>
        <w:t>Please see the NICE Clinical knowledge skills guidance on diagnosis and management of rheumatoid arthritis.</w:t>
      </w:r>
    </w:p>
    <w:p w14:paraId="4B0311F7" w14:textId="77777777" w:rsidR="005A1EE2" w:rsidRDefault="005A1EE2" w:rsidP="005A1EE2">
      <w:r w:rsidRPr="001E56D3">
        <w:t>https://cks.nice.org.uk/topics/rheumatoid-arthritis/diagnosis/investigations-for-suspected-ra/</w:t>
      </w:r>
    </w:p>
    <w:p w14:paraId="4FD508B2" w14:textId="77777777" w:rsidR="005A1EE2" w:rsidRDefault="005A1EE2" w:rsidP="005A1EE2"/>
    <w:p w14:paraId="3ABB77F2" w14:textId="77777777" w:rsidR="005A1EE2" w:rsidRPr="00071948" w:rsidRDefault="005A1EE2" w:rsidP="005A1EE2">
      <w:pPr>
        <w:pStyle w:val="Heading2"/>
        <w:numPr>
          <w:ilvl w:val="0"/>
          <w:numId w:val="0"/>
        </w:numPr>
      </w:pPr>
      <w:r w:rsidRPr="00071948">
        <w:t>ANCA Screen Testing</w:t>
      </w:r>
    </w:p>
    <w:p w14:paraId="44F54C3D" w14:textId="77777777" w:rsidR="005A1EE2" w:rsidRDefault="005A1EE2" w:rsidP="005A1EE2">
      <w:r>
        <w:t xml:space="preserve">The initial ANCA screen will detect anti-MPO and PR3 antibodies on the </w:t>
      </w:r>
      <w:proofErr w:type="spellStart"/>
      <w:r>
        <w:t>Werfen</w:t>
      </w:r>
      <w:proofErr w:type="spellEnd"/>
      <w:r>
        <w:t xml:space="preserve"> </w:t>
      </w:r>
      <w:proofErr w:type="spellStart"/>
      <w:r>
        <w:t>Bioflash</w:t>
      </w:r>
      <w:proofErr w:type="spellEnd"/>
      <w:r>
        <w:t xml:space="preserve"> analyser.  The reference ranges and reporting units will stay the same as previously reported by York.</w:t>
      </w:r>
    </w:p>
    <w:p w14:paraId="117AAB63" w14:textId="77777777" w:rsidR="005A1EE2" w:rsidRPr="00B13AC0" w:rsidRDefault="005A1EE2" w:rsidP="005A1EE2">
      <w:pPr>
        <w:rPr>
          <w:rFonts w:ascii="Calibri" w:hAnsi="Calibri" w:cs="Calibri"/>
          <w:szCs w:val="24"/>
          <w:lang w:val="en-US"/>
        </w:rPr>
      </w:pPr>
      <w:r w:rsidRPr="00B13AC0">
        <w:rPr>
          <w:rFonts w:ascii="Calibri" w:hAnsi="Calibri" w:cs="Calibri"/>
          <w:szCs w:val="24"/>
          <w:lang w:val="en-US"/>
        </w:rPr>
        <w:t xml:space="preserve">ANCA (MPO/PR3) negative results will be </w:t>
      </w:r>
      <w:proofErr w:type="gramStart"/>
      <w:r w:rsidRPr="00B13AC0">
        <w:rPr>
          <w:rFonts w:ascii="Calibri" w:hAnsi="Calibri" w:cs="Calibri"/>
          <w:szCs w:val="24"/>
          <w:lang w:val="en-US"/>
        </w:rPr>
        <w:t>report</w:t>
      </w:r>
      <w:r>
        <w:rPr>
          <w:rFonts w:ascii="Calibri" w:hAnsi="Calibri" w:cs="Calibri"/>
          <w:szCs w:val="24"/>
          <w:lang w:val="en-US"/>
        </w:rPr>
        <w:t>ed</w:t>
      </w:r>
      <w:proofErr w:type="gramEnd"/>
      <w:r>
        <w:rPr>
          <w:rFonts w:ascii="Calibri" w:hAnsi="Calibri" w:cs="Calibri"/>
          <w:szCs w:val="24"/>
          <w:lang w:val="en-US"/>
        </w:rPr>
        <w:t xml:space="preserve"> and no further action taken.</w:t>
      </w:r>
    </w:p>
    <w:p w14:paraId="2A0DA5AB" w14:textId="77777777" w:rsidR="005A1EE2" w:rsidRPr="00B13AC0" w:rsidRDefault="005A1EE2" w:rsidP="005A1EE2">
      <w:pPr>
        <w:rPr>
          <w:rFonts w:ascii="Calibri" w:hAnsi="Calibri" w:cs="Calibri"/>
          <w:sz w:val="20"/>
        </w:rPr>
      </w:pPr>
      <w:r w:rsidRPr="00B13AC0">
        <w:rPr>
          <w:rFonts w:ascii="Calibri" w:hAnsi="Calibri" w:cs="Calibri"/>
          <w:szCs w:val="24"/>
          <w:lang w:val="en-US"/>
        </w:rPr>
        <w:t>ANCA positive for anti-MPO and PR3 Ab will be authorized with the comment ANCA by indirect immunofluorescence to follow.</w:t>
      </w:r>
    </w:p>
    <w:p w14:paraId="68996D81" w14:textId="77777777" w:rsidR="005A1EE2" w:rsidRDefault="005A1EE2" w:rsidP="005A1EE2"/>
    <w:p w14:paraId="610AECA4" w14:textId="77777777" w:rsidR="005A1EE2" w:rsidRPr="00180784" w:rsidRDefault="005A1EE2" w:rsidP="005A1EE2">
      <w:pPr>
        <w:pStyle w:val="Heading2"/>
        <w:numPr>
          <w:ilvl w:val="0"/>
          <w:numId w:val="0"/>
        </w:numPr>
      </w:pPr>
      <w:r w:rsidRPr="00180784">
        <w:t>Urgent Samples (ANCA and GBM antibody)</w:t>
      </w:r>
    </w:p>
    <w:p w14:paraId="7B25364D" w14:textId="77777777" w:rsidR="005A1EE2" w:rsidRPr="009A7038" w:rsidRDefault="005A1EE2" w:rsidP="005A1EE2">
      <w:pPr>
        <w:rPr>
          <w:color w:val="000000"/>
          <w:szCs w:val="27"/>
        </w:rPr>
      </w:pPr>
      <w:r w:rsidRPr="009A7038">
        <w:rPr>
          <w:color w:val="000000"/>
          <w:szCs w:val="27"/>
        </w:rPr>
        <w:t>The York/Scarborough Blood Sciences laboratory must be informed via phone of any urgent requests</w:t>
      </w:r>
      <w:r>
        <w:rPr>
          <w:color w:val="000000"/>
          <w:szCs w:val="27"/>
        </w:rPr>
        <w:t xml:space="preserve"> for immunology testing</w:t>
      </w:r>
      <w:r w:rsidRPr="009A7038">
        <w:rPr>
          <w:color w:val="000000"/>
          <w:szCs w:val="27"/>
        </w:rPr>
        <w:t xml:space="preserve">. </w:t>
      </w:r>
    </w:p>
    <w:p w14:paraId="5DA1294C" w14:textId="77777777" w:rsidR="005A1EE2" w:rsidRPr="009A7038" w:rsidRDefault="005A1EE2" w:rsidP="005A1EE2">
      <w:pPr>
        <w:rPr>
          <w:color w:val="000000"/>
          <w:szCs w:val="27"/>
        </w:rPr>
      </w:pPr>
      <w:r w:rsidRPr="009A7038">
        <w:rPr>
          <w:color w:val="000000"/>
          <w:szCs w:val="27"/>
        </w:rPr>
        <w:t>The requesting clinician, location and contact details (full phone number and nhs.net email address) MUST be provided on the request form to ensure timely reporting of the results.</w:t>
      </w:r>
    </w:p>
    <w:p w14:paraId="0ABA363C" w14:textId="77777777" w:rsidR="005A1EE2" w:rsidRPr="009A7038" w:rsidRDefault="005A1EE2" w:rsidP="005A1EE2">
      <w:pPr>
        <w:rPr>
          <w:color w:val="000000"/>
          <w:szCs w:val="27"/>
        </w:rPr>
      </w:pPr>
      <w:r w:rsidRPr="009A7038">
        <w:rPr>
          <w:color w:val="000000"/>
          <w:szCs w:val="27"/>
        </w:rPr>
        <w:t>The Immunology laboratory at Hull does not provide an out of hours service – the laboratory is open 08.30 – 17.00 hrs Monday – Friday</w:t>
      </w:r>
      <w:r>
        <w:rPr>
          <w:color w:val="000000"/>
          <w:szCs w:val="27"/>
        </w:rPr>
        <w:t xml:space="preserve"> therefore samples received in York or Scarborough after 2pm will be testing on the next working day.</w:t>
      </w:r>
    </w:p>
    <w:p w14:paraId="24BF454F" w14:textId="77777777" w:rsidR="005A1EE2" w:rsidRPr="009A7038" w:rsidRDefault="005A1EE2" w:rsidP="005A1EE2">
      <w:pPr>
        <w:rPr>
          <w:color w:val="000000"/>
          <w:szCs w:val="27"/>
        </w:rPr>
      </w:pPr>
    </w:p>
    <w:p w14:paraId="58D2B34D" w14:textId="77777777" w:rsidR="005A1EE2" w:rsidRPr="00FC1A45" w:rsidRDefault="005A1EE2" w:rsidP="005A1EE2">
      <w:pPr>
        <w:pStyle w:val="Heading2"/>
        <w:numPr>
          <w:ilvl w:val="0"/>
          <w:numId w:val="0"/>
        </w:numPr>
      </w:pPr>
      <w:r w:rsidRPr="00FC1A45">
        <w:t>Laboratory Contact Information</w:t>
      </w:r>
    </w:p>
    <w:p w14:paraId="26357561" w14:textId="77777777" w:rsidR="005A1EE2" w:rsidRDefault="005A1EE2" w:rsidP="005A1EE2">
      <w:pPr>
        <w:rPr>
          <w:color w:val="000000"/>
          <w:szCs w:val="27"/>
          <w:u w:val="single"/>
        </w:rPr>
      </w:pPr>
      <w:r w:rsidRPr="009A7038">
        <w:rPr>
          <w:color w:val="000000"/>
          <w:szCs w:val="27"/>
          <w:u w:val="single"/>
        </w:rPr>
        <w:t>York Blood Sciences</w:t>
      </w:r>
    </w:p>
    <w:p w14:paraId="6BE4CCFF" w14:textId="77777777" w:rsidR="005A1EE2" w:rsidRPr="009D5169" w:rsidRDefault="005A1EE2" w:rsidP="005A1EE2">
      <w:pPr>
        <w:rPr>
          <w:color w:val="000000"/>
          <w:szCs w:val="27"/>
        </w:rPr>
      </w:pPr>
      <w:r w:rsidRPr="00D031CE">
        <w:rPr>
          <w:color w:val="000000"/>
          <w:szCs w:val="27"/>
        </w:rPr>
        <w:t>Laboratory (01904 72) 6802</w:t>
      </w:r>
    </w:p>
    <w:p w14:paraId="43994CC5" w14:textId="77777777" w:rsidR="005A1EE2" w:rsidRPr="009A7038" w:rsidRDefault="005A1EE2" w:rsidP="005A1EE2">
      <w:pPr>
        <w:rPr>
          <w:color w:val="000000"/>
          <w:szCs w:val="27"/>
          <w:u w:val="single"/>
        </w:rPr>
      </w:pPr>
      <w:r w:rsidRPr="009A7038">
        <w:rPr>
          <w:color w:val="000000"/>
          <w:szCs w:val="27"/>
          <w:u w:val="single"/>
        </w:rPr>
        <w:t>Scarborough Blood Sciences</w:t>
      </w:r>
    </w:p>
    <w:p w14:paraId="6B22FE66" w14:textId="77777777" w:rsidR="005A1EE2" w:rsidRPr="009A7038" w:rsidRDefault="005A1EE2" w:rsidP="005A1EE2">
      <w:pPr>
        <w:rPr>
          <w:color w:val="000000"/>
          <w:szCs w:val="27"/>
        </w:rPr>
      </w:pPr>
      <w:r>
        <w:rPr>
          <w:color w:val="000000"/>
          <w:szCs w:val="27"/>
        </w:rPr>
        <w:t>Laboratory: (</w:t>
      </w:r>
      <w:r w:rsidRPr="004D61AF">
        <w:rPr>
          <w:color w:val="000000"/>
          <w:szCs w:val="27"/>
        </w:rPr>
        <w:t xml:space="preserve">01723 34) </w:t>
      </w:r>
      <w:r>
        <w:rPr>
          <w:color w:val="000000"/>
          <w:szCs w:val="27"/>
        </w:rPr>
        <w:t>2625</w:t>
      </w:r>
    </w:p>
    <w:p w14:paraId="38869148" w14:textId="77777777" w:rsidR="005A1EE2" w:rsidRPr="009A7038" w:rsidRDefault="005A1EE2" w:rsidP="005A1EE2">
      <w:pPr>
        <w:rPr>
          <w:color w:val="000000"/>
          <w:szCs w:val="27"/>
          <w:u w:val="single"/>
        </w:rPr>
      </w:pPr>
      <w:r w:rsidRPr="009A7038">
        <w:rPr>
          <w:color w:val="000000"/>
          <w:szCs w:val="27"/>
          <w:u w:val="single"/>
        </w:rPr>
        <w:t>Hull Immunology</w:t>
      </w:r>
    </w:p>
    <w:p w14:paraId="1D80454F" w14:textId="77777777" w:rsidR="005A1EE2" w:rsidRPr="009A7038" w:rsidRDefault="005A1EE2" w:rsidP="005A1EE2">
      <w:pPr>
        <w:rPr>
          <w:color w:val="000000"/>
          <w:szCs w:val="27"/>
        </w:rPr>
      </w:pPr>
      <w:r w:rsidRPr="009A7038">
        <w:rPr>
          <w:color w:val="000000"/>
          <w:szCs w:val="27"/>
        </w:rPr>
        <w:t>Laboratory: 01482 607768</w:t>
      </w:r>
      <w:r>
        <w:rPr>
          <w:color w:val="000000"/>
          <w:szCs w:val="27"/>
        </w:rPr>
        <w:t xml:space="preserve"> </w:t>
      </w:r>
    </w:p>
    <w:p w14:paraId="5CEFAC7B" w14:textId="77777777" w:rsidR="005A1EE2" w:rsidRDefault="005A1EE2" w:rsidP="005A1EE2">
      <w:pPr>
        <w:rPr>
          <w:color w:val="000000"/>
          <w:szCs w:val="27"/>
        </w:rPr>
      </w:pPr>
      <w:r w:rsidRPr="009A7038">
        <w:rPr>
          <w:color w:val="000000"/>
          <w:szCs w:val="27"/>
        </w:rPr>
        <w:t>Clinical Scientists: 01482 607710 / 607813</w:t>
      </w:r>
      <w:r>
        <w:rPr>
          <w:color w:val="000000"/>
          <w:szCs w:val="27"/>
        </w:rPr>
        <w:t xml:space="preserve">  </w:t>
      </w:r>
    </w:p>
    <w:p w14:paraId="71B8E124" w14:textId="77777777" w:rsidR="005A1EE2" w:rsidRPr="009A7038" w:rsidRDefault="005A1EE2" w:rsidP="005A1EE2">
      <w:pPr>
        <w:rPr>
          <w:color w:val="000000"/>
          <w:szCs w:val="27"/>
        </w:rPr>
      </w:pPr>
      <w:r w:rsidRPr="009A7038">
        <w:rPr>
          <w:color w:val="000000"/>
          <w:szCs w:val="27"/>
        </w:rPr>
        <w:t>Anna.McHugh@nhs.net</w:t>
      </w:r>
    </w:p>
    <w:p w14:paraId="5CA228F3" w14:textId="00C44260" w:rsidR="005A1EE2" w:rsidRDefault="005A1EE2" w:rsidP="005A1EE2">
      <w:pPr>
        <w:rPr>
          <w:color w:val="000000"/>
          <w:szCs w:val="27"/>
        </w:rPr>
      </w:pPr>
      <w:hyperlink r:id="rId7" w:history="1">
        <w:r w:rsidRPr="003F3A9E">
          <w:rPr>
            <w:rStyle w:val="Hyperlink"/>
            <w:szCs w:val="27"/>
          </w:rPr>
          <w:t>Kristina.Emsell@nhs.net</w:t>
        </w:r>
      </w:hyperlink>
    </w:p>
    <w:p w14:paraId="596E730E" w14:textId="7791BC8C" w:rsidR="005A1EE2" w:rsidRDefault="005A1EE2" w:rsidP="005A1EE2">
      <w:pPr>
        <w:rPr>
          <w:color w:val="000000"/>
          <w:szCs w:val="27"/>
        </w:rPr>
      </w:pPr>
    </w:p>
    <w:p w14:paraId="2CFB2FFC" w14:textId="3B6CAA64" w:rsidR="005A1EE2" w:rsidRDefault="005A1EE2" w:rsidP="005A1EE2">
      <w:pPr>
        <w:rPr>
          <w:color w:val="000000"/>
          <w:szCs w:val="27"/>
        </w:rPr>
      </w:pPr>
    </w:p>
    <w:p w14:paraId="52D1A1FB" w14:textId="77777777" w:rsidR="005A1EE2" w:rsidRDefault="005A1EE2" w:rsidP="005A1EE2">
      <w:pPr>
        <w:rPr>
          <w:sz w:val="18"/>
        </w:rPr>
      </w:pPr>
    </w:p>
    <w:p w14:paraId="5409CA51" w14:textId="77777777" w:rsidR="005A1EE2" w:rsidRPr="00C95E26" w:rsidRDefault="005A1EE2" w:rsidP="005A1EE2">
      <w:pPr>
        <w:rPr>
          <w:sz w:val="18"/>
        </w:rPr>
      </w:pPr>
    </w:p>
    <w:p w14:paraId="16A36FAD" w14:textId="77777777" w:rsidR="005A1EE2" w:rsidRDefault="005A1EE2" w:rsidP="005A1EE2">
      <w:pPr>
        <w:pStyle w:val="Heading2"/>
        <w:numPr>
          <w:ilvl w:val="0"/>
          <w:numId w:val="0"/>
        </w:numPr>
      </w:pPr>
      <w:r w:rsidRPr="00D031CE">
        <w:t>Appendix</w:t>
      </w:r>
    </w:p>
    <w:p w14:paraId="1700090E" w14:textId="77777777" w:rsidR="005A1EE2" w:rsidRPr="00D3335E" w:rsidRDefault="005A1EE2" w:rsidP="005A1EE2">
      <w:pPr>
        <w:rPr>
          <w:b/>
        </w:rPr>
      </w:pPr>
      <w:r w:rsidRPr="00D3335E">
        <w:rPr>
          <w:b/>
        </w:rPr>
        <w:t>Anti-nuclear Antibody Screen – Aptiva multiplex assay</w:t>
      </w:r>
    </w:p>
    <w:tbl>
      <w:tblPr>
        <w:tblStyle w:val="GridTable1Light-Accent5"/>
        <w:tblW w:w="0" w:type="auto"/>
        <w:tblLook w:val="04A0" w:firstRow="1" w:lastRow="0" w:firstColumn="1" w:lastColumn="0" w:noHBand="0" w:noVBand="1"/>
      </w:tblPr>
      <w:tblGrid>
        <w:gridCol w:w="3114"/>
        <w:gridCol w:w="1141"/>
        <w:gridCol w:w="2474"/>
        <w:gridCol w:w="964"/>
        <w:gridCol w:w="992"/>
      </w:tblGrid>
      <w:tr w:rsidR="005A1EE2" w:rsidRPr="00D926B7" w14:paraId="4047336A" w14:textId="77777777" w:rsidTr="00337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682351" w14:textId="77777777" w:rsidR="005A1EE2" w:rsidRPr="005A1EE2" w:rsidRDefault="005A1EE2" w:rsidP="003376F6">
            <w:pPr>
              <w:jc w:val="center"/>
            </w:pPr>
          </w:p>
        </w:tc>
        <w:tc>
          <w:tcPr>
            <w:tcW w:w="4579" w:type="dxa"/>
            <w:gridSpan w:val="3"/>
            <w:vAlign w:val="center"/>
          </w:tcPr>
          <w:p w14:paraId="711FD455" w14:textId="77777777" w:rsidR="005A1EE2" w:rsidRPr="005A1EE2" w:rsidRDefault="005A1EE2" w:rsidP="003376F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Reference ranges</w:t>
            </w:r>
          </w:p>
        </w:tc>
        <w:tc>
          <w:tcPr>
            <w:tcW w:w="992" w:type="dxa"/>
          </w:tcPr>
          <w:p w14:paraId="6D21AF19" w14:textId="77777777" w:rsidR="005A1EE2" w:rsidRPr="005A1EE2" w:rsidRDefault="005A1EE2" w:rsidP="003376F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5A1EE2" w:rsidRPr="00D926B7" w14:paraId="049364A6" w14:textId="77777777" w:rsidTr="003376F6">
        <w:tc>
          <w:tcPr>
            <w:cnfStyle w:val="001000000000" w:firstRow="0" w:lastRow="0" w:firstColumn="1" w:lastColumn="0" w:oddVBand="0" w:evenVBand="0" w:oddHBand="0" w:evenHBand="0" w:firstRowFirstColumn="0" w:firstRowLastColumn="0" w:lastRowFirstColumn="0" w:lastRowLastColumn="0"/>
            <w:tcW w:w="3114" w:type="dxa"/>
          </w:tcPr>
          <w:p w14:paraId="068C418D" w14:textId="77777777" w:rsidR="005A1EE2" w:rsidRPr="005A1EE2" w:rsidRDefault="005A1EE2" w:rsidP="003376F6">
            <w:pPr>
              <w:rPr>
                <w:u w:val="single"/>
              </w:rPr>
            </w:pPr>
            <w:r w:rsidRPr="005A1EE2">
              <w:rPr>
                <w:u w:val="single"/>
              </w:rPr>
              <w:t>Antibody</w:t>
            </w:r>
          </w:p>
        </w:tc>
        <w:tc>
          <w:tcPr>
            <w:tcW w:w="1141" w:type="dxa"/>
            <w:vAlign w:val="center"/>
          </w:tcPr>
          <w:p w14:paraId="4DBB821B" w14:textId="77777777" w:rsidR="005A1EE2" w:rsidRPr="005A1EE2" w:rsidRDefault="005A1EE2" w:rsidP="003376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5A1EE2">
              <w:rPr>
                <w:rFonts w:ascii="Calibri" w:eastAsia="Times New Roman" w:hAnsi="Calibri" w:cs="Calibri"/>
                <w:color w:val="000000"/>
                <w:lang w:eastAsia="en-GB"/>
              </w:rPr>
              <w:t xml:space="preserve">Negative </w:t>
            </w:r>
          </w:p>
        </w:tc>
        <w:tc>
          <w:tcPr>
            <w:tcW w:w="2474" w:type="dxa"/>
            <w:vAlign w:val="center"/>
          </w:tcPr>
          <w:p w14:paraId="2D7B3561" w14:textId="77777777" w:rsidR="005A1EE2" w:rsidRPr="005A1EE2" w:rsidRDefault="005A1EE2" w:rsidP="003376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5A1EE2">
              <w:rPr>
                <w:rFonts w:ascii="Calibri" w:eastAsia="Times New Roman" w:hAnsi="Calibri" w:cs="Calibri"/>
                <w:color w:val="000000"/>
                <w:lang w:eastAsia="en-GB"/>
              </w:rPr>
              <w:t>Intermediate/Borderline</w:t>
            </w:r>
          </w:p>
        </w:tc>
        <w:tc>
          <w:tcPr>
            <w:tcW w:w="964" w:type="dxa"/>
            <w:vAlign w:val="center"/>
          </w:tcPr>
          <w:p w14:paraId="6ABB8F78" w14:textId="77777777" w:rsidR="005A1EE2" w:rsidRPr="005A1EE2" w:rsidRDefault="005A1EE2" w:rsidP="003376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5A1EE2">
              <w:rPr>
                <w:rFonts w:ascii="Calibri" w:eastAsia="Times New Roman" w:hAnsi="Calibri" w:cs="Calibri"/>
                <w:color w:val="000000"/>
                <w:lang w:eastAsia="en-GB"/>
              </w:rPr>
              <w:t>Positive</w:t>
            </w:r>
          </w:p>
        </w:tc>
        <w:tc>
          <w:tcPr>
            <w:tcW w:w="992" w:type="dxa"/>
          </w:tcPr>
          <w:p w14:paraId="387BE881" w14:textId="77777777" w:rsidR="005A1EE2" w:rsidRPr="005A1EE2" w:rsidRDefault="005A1EE2" w:rsidP="003376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5A1EE2">
              <w:rPr>
                <w:rFonts w:ascii="Calibri" w:eastAsia="Times New Roman" w:hAnsi="Calibri" w:cs="Calibri"/>
                <w:color w:val="000000"/>
                <w:lang w:eastAsia="en-GB"/>
              </w:rPr>
              <w:t>Units</w:t>
            </w:r>
          </w:p>
        </w:tc>
      </w:tr>
      <w:tr w:rsidR="005A1EE2" w:rsidRPr="00D926B7" w14:paraId="2BA6FA9A" w14:textId="77777777" w:rsidTr="003376F6">
        <w:tc>
          <w:tcPr>
            <w:cnfStyle w:val="001000000000" w:firstRow="0" w:lastRow="0" w:firstColumn="1" w:lastColumn="0" w:oddVBand="0" w:evenVBand="0" w:oddHBand="0" w:evenHBand="0" w:firstRowFirstColumn="0" w:firstRowLastColumn="0" w:lastRowFirstColumn="0" w:lastRowLastColumn="0"/>
            <w:tcW w:w="3114" w:type="dxa"/>
            <w:vAlign w:val="center"/>
          </w:tcPr>
          <w:p w14:paraId="2588E83B" w14:textId="77777777" w:rsidR="005A1EE2" w:rsidRPr="005A1EE2" w:rsidRDefault="005A1EE2" w:rsidP="003376F6">
            <w:pPr>
              <w:rPr>
                <w:rFonts w:ascii="Calibri" w:eastAsia="Times New Roman" w:hAnsi="Calibri" w:cs="Calibri"/>
                <w:color w:val="000000"/>
                <w:lang w:eastAsia="en-GB"/>
              </w:rPr>
            </w:pPr>
            <w:r w:rsidRPr="005A1EE2">
              <w:rPr>
                <w:rFonts w:ascii="Calibri" w:eastAsia="Times New Roman" w:hAnsi="Calibri" w:cs="Calibri"/>
                <w:color w:val="000000"/>
                <w:lang w:eastAsia="en-GB"/>
              </w:rPr>
              <w:t>Anti-dsDNA antibody</w:t>
            </w:r>
          </w:p>
        </w:tc>
        <w:tc>
          <w:tcPr>
            <w:tcW w:w="1141" w:type="dxa"/>
            <w:vAlign w:val="center"/>
          </w:tcPr>
          <w:p w14:paraId="1041F48E"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&lt;27</w:t>
            </w:r>
          </w:p>
        </w:tc>
        <w:tc>
          <w:tcPr>
            <w:tcW w:w="2474" w:type="dxa"/>
            <w:vAlign w:val="center"/>
          </w:tcPr>
          <w:p w14:paraId="4D4FAC40"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27-35</w:t>
            </w:r>
          </w:p>
        </w:tc>
        <w:tc>
          <w:tcPr>
            <w:tcW w:w="964" w:type="dxa"/>
            <w:vAlign w:val="center"/>
          </w:tcPr>
          <w:p w14:paraId="048FE3BA"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 xml:space="preserve">&gt; </w:t>
            </w:r>
            <w:proofErr w:type="gramStart"/>
            <w:r w:rsidRPr="005A1EE2">
              <w:rPr>
                <w:rFonts w:ascii="Calibri" w:eastAsia="Times New Roman" w:hAnsi="Calibri" w:cs="Calibri"/>
                <w:color w:val="000000"/>
                <w:lang w:eastAsia="en-GB"/>
              </w:rPr>
              <w:t>=  35</w:t>
            </w:r>
            <w:proofErr w:type="gramEnd"/>
          </w:p>
        </w:tc>
        <w:tc>
          <w:tcPr>
            <w:tcW w:w="992" w:type="dxa"/>
          </w:tcPr>
          <w:p w14:paraId="1F200D32"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IU/mL</w:t>
            </w:r>
          </w:p>
        </w:tc>
      </w:tr>
      <w:tr w:rsidR="005A1EE2" w:rsidRPr="00D926B7" w14:paraId="0D3D133D" w14:textId="77777777" w:rsidTr="003376F6">
        <w:tc>
          <w:tcPr>
            <w:cnfStyle w:val="001000000000" w:firstRow="0" w:lastRow="0" w:firstColumn="1" w:lastColumn="0" w:oddVBand="0" w:evenVBand="0" w:oddHBand="0" w:evenHBand="0" w:firstRowFirstColumn="0" w:firstRowLastColumn="0" w:lastRowFirstColumn="0" w:lastRowLastColumn="0"/>
            <w:tcW w:w="3114" w:type="dxa"/>
            <w:vAlign w:val="center"/>
          </w:tcPr>
          <w:p w14:paraId="3FE8ABB4" w14:textId="77777777" w:rsidR="005A1EE2" w:rsidRPr="005A1EE2" w:rsidRDefault="005A1EE2" w:rsidP="003376F6">
            <w:pPr>
              <w:rPr>
                <w:rFonts w:ascii="Calibri" w:eastAsia="Times New Roman" w:hAnsi="Calibri" w:cs="Calibri"/>
                <w:color w:val="000000"/>
                <w:lang w:eastAsia="en-GB"/>
              </w:rPr>
            </w:pPr>
            <w:r w:rsidRPr="005A1EE2">
              <w:rPr>
                <w:rFonts w:ascii="Calibri" w:eastAsia="Times New Roman" w:hAnsi="Calibri" w:cs="Calibri"/>
                <w:color w:val="000000"/>
                <w:lang w:eastAsia="en-GB"/>
              </w:rPr>
              <w:t>Anti-Ro60 (SSA) Antibody</w:t>
            </w:r>
          </w:p>
        </w:tc>
        <w:tc>
          <w:tcPr>
            <w:tcW w:w="1141" w:type="dxa"/>
            <w:vAlign w:val="center"/>
          </w:tcPr>
          <w:p w14:paraId="5C0FF659"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&lt;15</w:t>
            </w:r>
          </w:p>
        </w:tc>
        <w:tc>
          <w:tcPr>
            <w:tcW w:w="2474" w:type="dxa"/>
            <w:vAlign w:val="center"/>
          </w:tcPr>
          <w:p w14:paraId="6B6AABFD"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15-30</w:t>
            </w:r>
          </w:p>
        </w:tc>
        <w:tc>
          <w:tcPr>
            <w:tcW w:w="964" w:type="dxa"/>
            <w:vAlign w:val="center"/>
          </w:tcPr>
          <w:p w14:paraId="76550C2E"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 = 30</w:t>
            </w:r>
          </w:p>
        </w:tc>
        <w:tc>
          <w:tcPr>
            <w:tcW w:w="992" w:type="dxa"/>
          </w:tcPr>
          <w:p w14:paraId="37C149E8"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U</w:t>
            </w:r>
          </w:p>
        </w:tc>
      </w:tr>
      <w:tr w:rsidR="005A1EE2" w:rsidRPr="00D926B7" w14:paraId="2C8CD5BB" w14:textId="77777777" w:rsidTr="003376F6">
        <w:tc>
          <w:tcPr>
            <w:cnfStyle w:val="001000000000" w:firstRow="0" w:lastRow="0" w:firstColumn="1" w:lastColumn="0" w:oddVBand="0" w:evenVBand="0" w:oddHBand="0" w:evenHBand="0" w:firstRowFirstColumn="0" w:firstRowLastColumn="0" w:lastRowFirstColumn="0" w:lastRowLastColumn="0"/>
            <w:tcW w:w="3114" w:type="dxa"/>
            <w:vAlign w:val="center"/>
          </w:tcPr>
          <w:p w14:paraId="7B17C959" w14:textId="77777777" w:rsidR="005A1EE2" w:rsidRPr="005A1EE2" w:rsidRDefault="005A1EE2" w:rsidP="003376F6">
            <w:pPr>
              <w:rPr>
                <w:rFonts w:ascii="Calibri" w:eastAsia="Times New Roman" w:hAnsi="Calibri" w:cs="Calibri"/>
                <w:color w:val="000000"/>
                <w:lang w:eastAsia="en-GB"/>
              </w:rPr>
            </w:pPr>
            <w:r w:rsidRPr="005A1EE2">
              <w:rPr>
                <w:rFonts w:ascii="Calibri" w:eastAsia="Times New Roman" w:hAnsi="Calibri" w:cs="Calibri"/>
                <w:color w:val="000000"/>
                <w:lang w:eastAsia="en-GB"/>
              </w:rPr>
              <w:t>Anti-Ro52 antibody</w:t>
            </w:r>
          </w:p>
        </w:tc>
        <w:tc>
          <w:tcPr>
            <w:tcW w:w="1141" w:type="dxa"/>
            <w:vAlign w:val="center"/>
          </w:tcPr>
          <w:p w14:paraId="5A945264"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&lt;5</w:t>
            </w:r>
          </w:p>
        </w:tc>
        <w:tc>
          <w:tcPr>
            <w:tcW w:w="2474" w:type="dxa"/>
            <w:vAlign w:val="center"/>
          </w:tcPr>
          <w:p w14:paraId="0729B84C"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5-30</w:t>
            </w:r>
          </w:p>
        </w:tc>
        <w:tc>
          <w:tcPr>
            <w:tcW w:w="964" w:type="dxa"/>
            <w:vAlign w:val="center"/>
          </w:tcPr>
          <w:p w14:paraId="668FF9A6"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 = 30</w:t>
            </w:r>
          </w:p>
        </w:tc>
        <w:tc>
          <w:tcPr>
            <w:tcW w:w="992" w:type="dxa"/>
          </w:tcPr>
          <w:p w14:paraId="3C693E6E"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U</w:t>
            </w:r>
          </w:p>
        </w:tc>
      </w:tr>
      <w:tr w:rsidR="005A1EE2" w:rsidRPr="00D926B7" w14:paraId="14210280" w14:textId="77777777" w:rsidTr="003376F6">
        <w:tc>
          <w:tcPr>
            <w:cnfStyle w:val="001000000000" w:firstRow="0" w:lastRow="0" w:firstColumn="1" w:lastColumn="0" w:oddVBand="0" w:evenVBand="0" w:oddHBand="0" w:evenHBand="0" w:firstRowFirstColumn="0" w:firstRowLastColumn="0" w:lastRowFirstColumn="0" w:lastRowLastColumn="0"/>
            <w:tcW w:w="3114" w:type="dxa"/>
            <w:vAlign w:val="center"/>
          </w:tcPr>
          <w:p w14:paraId="31F0439F" w14:textId="77777777" w:rsidR="005A1EE2" w:rsidRPr="005A1EE2" w:rsidRDefault="005A1EE2" w:rsidP="003376F6">
            <w:pPr>
              <w:rPr>
                <w:rFonts w:ascii="Calibri" w:eastAsia="Times New Roman" w:hAnsi="Calibri" w:cs="Calibri"/>
                <w:color w:val="000000"/>
                <w:lang w:eastAsia="en-GB"/>
              </w:rPr>
            </w:pPr>
            <w:r w:rsidRPr="005A1EE2">
              <w:rPr>
                <w:rFonts w:ascii="Calibri" w:eastAsia="Times New Roman" w:hAnsi="Calibri" w:cs="Calibri"/>
                <w:color w:val="000000"/>
                <w:lang w:eastAsia="en-GB"/>
              </w:rPr>
              <w:t>Anti-La (SSB) antibody</w:t>
            </w:r>
          </w:p>
        </w:tc>
        <w:tc>
          <w:tcPr>
            <w:tcW w:w="1141" w:type="dxa"/>
            <w:vAlign w:val="center"/>
          </w:tcPr>
          <w:p w14:paraId="695EF8AF"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&lt;5</w:t>
            </w:r>
          </w:p>
        </w:tc>
        <w:tc>
          <w:tcPr>
            <w:tcW w:w="2474" w:type="dxa"/>
            <w:vAlign w:val="center"/>
          </w:tcPr>
          <w:p w14:paraId="7B774E2D"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5-30</w:t>
            </w:r>
          </w:p>
        </w:tc>
        <w:tc>
          <w:tcPr>
            <w:tcW w:w="964" w:type="dxa"/>
            <w:vAlign w:val="center"/>
          </w:tcPr>
          <w:p w14:paraId="2AFF172D"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 = 30</w:t>
            </w:r>
          </w:p>
        </w:tc>
        <w:tc>
          <w:tcPr>
            <w:tcW w:w="992" w:type="dxa"/>
          </w:tcPr>
          <w:p w14:paraId="1728D285"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U</w:t>
            </w:r>
          </w:p>
        </w:tc>
      </w:tr>
      <w:tr w:rsidR="005A1EE2" w:rsidRPr="00D926B7" w14:paraId="54A56DDF" w14:textId="77777777" w:rsidTr="003376F6">
        <w:tc>
          <w:tcPr>
            <w:cnfStyle w:val="001000000000" w:firstRow="0" w:lastRow="0" w:firstColumn="1" w:lastColumn="0" w:oddVBand="0" w:evenVBand="0" w:oddHBand="0" w:evenHBand="0" w:firstRowFirstColumn="0" w:firstRowLastColumn="0" w:lastRowFirstColumn="0" w:lastRowLastColumn="0"/>
            <w:tcW w:w="3114" w:type="dxa"/>
            <w:vAlign w:val="center"/>
          </w:tcPr>
          <w:p w14:paraId="5169953B" w14:textId="77777777" w:rsidR="005A1EE2" w:rsidRPr="005A1EE2" w:rsidRDefault="005A1EE2" w:rsidP="003376F6">
            <w:pPr>
              <w:rPr>
                <w:rFonts w:ascii="Calibri" w:eastAsia="Times New Roman" w:hAnsi="Calibri" w:cs="Calibri"/>
                <w:color w:val="000000"/>
                <w:lang w:eastAsia="en-GB"/>
              </w:rPr>
            </w:pPr>
            <w:r w:rsidRPr="005A1EE2">
              <w:rPr>
                <w:rFonts w:ascii="Calibri" w:eastAsia="Times New Roman" w:hAnsi="Calibri" w:cs="Calibri"/>
                <w:color w:val="000000"/>
                <w:lang w:eastAsia="en-GB"/>
              </w:rPr>
              <w:t>Anti-</w:t>
            </w:r>
            <w:proofErr w:type="spellStart"/>
            <w:r w:rsidRPr="005A1EE2">
              <w:rPr>
                <w:rFonts w:ascii="Calibri" w:eastAsia="Times New Roman" w:hAnsi="Calibri" w:cs="Calibri"/>
                <w:color w:val="000000"/>
                <w:lang w:eastAsia="en-GB"/>
              </w:rPr>
              <w:t>Sm</w:t>
            </w:r>
            <w:proofErr w:type="spellEnd"/>
            <w:r w:rsidRPr="005A1EE2">
              <w:rPr>
                <w:rFonts w:ascii="Calibri" w:eastAsia="Times New Roman" w:hAnsi="Calibri" w:cs="Calibri"/>
                <w:color w:val="000000"/>
                <w:lang w:eastAsia="en-GB"/>
              </w:rPr>
              <w:t xml:space="preserve"> antibody</w:t>
            </w:r>
          </w:p>
        </w:tc>
        <w:tc>
          <w:tcPr>
            <w:tcW w:w="1141" w:type="dxa"/>
            <w:vAlign w:val="center"/>
          </w:tcPr>
          <w:p w14:paraId="5A8EE321"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&lt;5</w:t>
            </w:r>
          </w:p>
        </w:tc>
        <w:tc>
          <w:tcPr>
            <w:tcW w:w="2474" w:type="dxa"/>
            <w:vAlign w:val="center"/>
          </w:tcPr>
          <w:p w14:paraId="36AC5C01"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5-30</w:t>
            </w:r>
          </w:p>
        </w:tc>
        <w:tc>
          <w:tcPr>
            <w:tcW w:w="964" w:type="dxa"/>
            <w:vAlign w:val="center"/>
          </w:tcPr>
          <w:p w14:paraId="0D52653D"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 = 30</w:t>
            </w:r>
          </w:p>
        </w:tc>
        <w:tc>
          <w:tcPr>
            <w:tcW w:w="992" w:type="dxa"/>
          </w:tcPr>
          <w:p w14:paraId="2D028497"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U</w:t>
            </w:r>
          </w:p>
        </w:tc>
      </w:tr>
      <w:tr w:rsidR="005A1EE2" w:rsidRPr="00D926B7" w14:paraId="6A8135ED" w14:textId="77777777" w:rsidTr="003376F6">
        <w:tc>
          <w:tcPr>
            <w:cnfStyle w:val="001000000000" w:firstRow="0" w:lastRow="0" w:firstColumn="1" w:lastColumn="0" w:oddVBand="0" w:evenVBand="0" w:oddHBand="0" w:evenHBand="0" w:firstRowFirstColumn="0" w:firstRowLastColumn="0" w:lastRowFirstColumn="0" w:lastRowLastColumn="0"/>
            <w:tcW w:w="3114" w:type="dxa"/>
            <w:vAlign w:val="center"/>
          </w:tcPr>
          <w:p w14:paraId="6974D5C2" w14:textId="77777777" w:rsidR="005A1EE2" w:rsidRPr="005A1EE2" w:rsidRDefault="005A1EE2" w:rsidP="003376F6">
            <w:pPr>
              <w:rPr>
                <w:rFonts w:ascii="Calibri" w:eastAsia="Times New Roman" w:hAnsi="Calibri" w:cs="Calibri"/>
                <w:color w:val="000000"/>
                <w:lang w:eastAsia="en-GB"/>
              </w:rPr>
            </w:pPr>
            <w:r w:rsidRPr="005A1EE2">
              <w:rPr>
                <w:rFonts w:ascii="Calibri" w:eastAsia="Times New Roman" w:hAnsi="Calibri" w:cs="Calibri"/>
                <w:color w:val="000000"/>
                <w:lang w:eastAsia="en-GB"/>
              </w:rPr>
              <w:t>Anti-RNP antibody</w:t>
            </w:r>
          </w:p>
        </w:tc>
        <w:tc>
          <w:tcPr>
            <w:tcW w:w="1141" w:type="dxa"/>
            <w:vAlign w:val="center"/>
          </w:tcPr>
          <w:p w14:paraId="423953D6"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&lt;15</w:t>
            </w:r>
          </w:p>
        </w:tc>
        <w:tc>
          <w:tcPr>
            <w:tcW w:w="2474" w:type="dxa"/>
            <w:vAlign w:val="center"/>
          </w:tcPr>
          <w:p w14:paraId="2C5202D9"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15-30</w:t>
            </w:r>
          </w:p>
        </w:tc>
        <w:tc>
          <w:tcPr>
            <w:tcW w:w="964" w:type="dxa"/>
            <w:vAlign w:val="center"/>
          </w:tcPr>
          <w:p w14:paraId="61440AF5"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 = 30</w:t>
            </w:r>
          </w:p>
        </w:tc>
        <w:tc>
          <w:tcPr>
            <w:tcW w:w="992" w:type="dxa"/>
          </w:tcPr>
          <w:p w14:paraId="0A6547D4"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U</w:t>
            </w:r>
          </w:p>
        </w:tc>
      </w:tr>
      <w:tr w:rsidR="005A1EE2" w:rsidRPr="00D926B7" w14:paraId="0C132399" w14:textId="77777777" w:rsidTr="003376F6">
        <w:tc>
          <w:tcPr>
            <w:cnfStyle w:val="001000000000" w:firstRow="0" w:lastRow="0" w:firstColumn="1" w:lastColumn="0" w:oddVBand="0" w:evenVBand="0" w:oddHBand="0" w:evenHBand="0" w:firstRowFirstColumn="0" w:firstRowLastColumn="0" w:lastRowFirstColumn="0" w:lastRowLastColumn="0"/>
            <w:tcW w:w="3114" w:type="dxa"/>
            <w:vAlign w:val="center"/>
          </w:tcPr>
          <w:p w14:paraId="79FEC1DA" w14:textId="77777777" w:rsidR="005A1EE2" w:rsidRPr="005A1EE2" w:rsidRDefault="005A1EE2" w:rsidP="003376F6">
            <w:pPr>
              <w:rPr>
                <w:rFonts w:ascii="Calibri" w:eastAsia="Times New Roman" w:hAnsi="Calibri" w:cs="Calibri"/>
                <w:color w:val="000000"/>
                <w:lang w:eastAsia="en-GB"/>
              </w:rPr>
            </w:pPr>
            <w:r w:rsidRPr="005A1EE2">
              <w:rPr>
                <w:rFonts w:ascii="Calibri" w:eastAsia="Times New Roman" w:hAnsi="Calibri" w:cs="Calibri"/>
                <w:color w:val="000000"/>
                <w:lang w:eastAsia="en-GB"/>
              </w:rPr>
              <w:t>Anti-Jo-1 antibody</w:t>
            </w:r>
          </w:p>
        </w:tc>
        <w:tc>
          <w:tcPr>
            <w:tcW w:w="1141" w:type="dxa"/>
            <w:vAlign w:val="center"/>
          </w:tcPr>
          <w:p w14:paraId="3D5FB298"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&lt;5</w:t>
            </w:r>
          </w:p>
        </w:tc>
        <w:tc>
          <w:tcPr>
            <w:tcW w:w="2474" w:type="dxa"/>
            <w:vAlign w:val="center"/>
          </w:tcPr>
          <w:p w14:paraId="1B53485D"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964" w:type="dxa"/>
            <w:vAlign w:val="center"/>
          </w:tcPr>
          <w:p w14:paraId="650BD4C6"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 = 5</w:t>
            </w:r>
          </w:p>
        </w:tc>
        <w:tc>
          <w:tcPr>
            <w:tcW w:w="992" w:type="dxa"/>
          </w:tcPr>
          <w:p w14:paraId="11EEAA97"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U</w:t>
            </w:r>
          </w:p>
        </w:tc>
      </w:tr>
      <w:tr w:rsidR="005A1EE2" w:rsidRPr="00D926B7" w14:paraId="399D8BC7" w14:textId="77777777" w:rsidTr="003376F6">
        <w:tc>
          <w:tcPr>
            <w:cnfStyle w:val="001000000000" w:firstRow="0" w:lastRow="0" w:firstColumn="1" w:lastColumn="0" w:oddVBand="0" w:evenVBand="0" w:oddHBand="0" w:evenHBand="0" w:firstRowFirstColumn="0" w:firstRowLastColumn="0" w:lastRowFirstColumn="0" w:lastRowLastColumn="0"/>
            <w:tcW w:w="3114" w:type="dxa"/>
            <w:vAlign w:val="center"/>
          </w:tcPr>
          <w:p w14:paraId="554955A9" w14:textId="77777777" w:rsidR="005A1EE2" w:rsidRPr="005A1EE2" w:rsidRDefault="005A1EE2" w:rsidP="003376F6">
            <w:pPr>
              <w:rPr>
                <w:rFonts w:ascii="Calibri" w:eastAsia="Times New Roman" w:hAnsi="Calibri" w:cs="Calibri"/>
                <w:color w:val="000000"/>
                <w:lang w:eastAsia="en-GB"/>
              </w:rPr>
            </w:pPr>
            <w:r w:rsidRPr="005A1EE2">
              <w:rPr>
                <w:rFonts w:ascii="Calibri" w:eastAsia="Times New Roman" w:hAnsi="Calibri" w:cs="Calibri"/>
                <w:color w:val="000000"/>
                <w:lang w:eastAsia="en-GB"/>
              </w:rPr>
              <w:t>Anti-Scl-70 antibody</w:t>
            </w:r>
          </w:p>
        </w:tc>
        <w:tc>
          <w:tcPr>
            <w:tcW w:w="1141" w:type="dxa"/>
            <w:vAlign w:val="center"/>
          </w:tcPr>
          <w:p w14:paraId="79680D42"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&lt;15</w:t>
            </w:r>
          </w:p>
        </w:tc>
        <w:tc>
          <w:tcPr>
            <w:tcW w:w="2474" w:type="dxa"/>
            <w:vAlign w:val="center"/>
          </w:tcPr>
          <w:p w14:paraId="27D18727"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15-30</w:t>
            </w:r>
          </w:p>
        </w:tc>
        <w:tc>
          <w:tcPr>
            <w:tcW w:w="964" w:type="dxa"/>
            <w:vAlign w:val="center"/>
          </w:tcPr>
          <w:p w14:paraId="2C3AA57B"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 = 30</w:t>
            </w:r>
          </w:p>
        </w:tc>
        <w:tc>
          <w:tcPr>
            <w:tcW w:w="992" w:type="dxa"/>
          </w:tcPr>
          <w:p w14:paraId="60EB3001"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U</w:t>
            </w:r>
          </w:p>
        </w:tc>
      </w:tr>
      <w:tr w:rsidR="005A1EE2" w:rsidRPr="00D926B7" w14:paraId="6381C65D" w14:textId="77777777" w:rsidTr="003376F6">
        <w:tc>
          <w:tcPr>
            <w:cnfStyle w:val="001000000000" w:firstRow="0" w:lastRow="0" w:firstColumn="1" w:lastColumn="0" w:oddVBand="0" w:evenVBand="0" w:oddHBand="0" w:evenHBand="0" w:firstRowFirstColumn="0" w:firstRowLastColumn="0" w:lastRowFirstColumn="0" w:lastRowLastColumn="0"/>
            <w:tcW w:w="3114" w:type="dxa"/>
            <w:vAlign w:val="center"/>
          </w:tcPr>
          <w:p w14:paraId="6C081CF8" w14:textId="77777777" w:rsidR="005A1EE2" w:rsidRPr="005A1EE2" w:rsidRDefault="005A1EE2" w:rsidP="003376F6">
            <w:pPr>
              <w:rPr>
                <w:rFonts w:ascii="Calibri" w:eastAsia="Times New Roman" w:hAnsi="Calibri" w:cs="Calibri"/>
                <w:color w:val="000000"/>
                <w:lang w:eastAsia="en-GB"/>
              </w:rPr>
            </w:pPr>
            <w:r w:rsidRPr="005A1EE2">
              <w:rPr>
                <w:rFonts w:ascii="Calibri" w:eastAsia="Times New Roman" w:hAnsi="Calibri" w:cs="Calibri"/>
                <w:color w:val="000000"/>
                <w:lang w:eastAsia="en-GB"/>
              </w:rPr>
              <w:t>Anti-centromere antibody</w:t>
            </w:r>
          </w:p>
        </w:tc>
        <w:tc>
          <w:tcPr>
            <w:tcW w:w="1141" w:type="dxa"/>
            <w:vAlign w:val="center"/>
          </w:tcPr>
          <w:p w14:paraId="0E4C4178"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&lt;5</w:t>
            </w:r>
          </w:p>
        </w:tc>
        <w:tc>
          <w:tcPr>
            <w:tcW w:w="2474" w:type="dxa"/>
            <w:vAlign w:val="center"/>
          </w:tcPr>
          <w:p w14:paraId="1E785750"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 </w:t>
            </w:r>
          </w:p>
        </w:tc>
        <w:tc>
          <w:tcPr>
            <w:tcW w:w="964" w:type="dxa"/>
            <w:vAlign w:val="center"/>
          </w:tcPr>
          <w:p w14:paraId="09BA4CD1"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&gt;=5</w:t>
            </w:r>
          </w:p>
        </w:tc>
        <w:tc>
          <w:tcPr>
            <w:tcW w:w="992" w:type="dxa"/>
          </w:tcPr>
          <w:p w14:paraId="4B219C9B"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U</w:t>
            </w:r>
          </w:p>
        </w:tc>
      </w:tr>
      <w:tr w:rsidR="005A1EE2" w14:paraId="5315F8C7" w14:textId="77777777" w:rsidTr="003376F6">
        <w:tc>
          <w:tcPr>
            <w:cnfStyle w:val="001000000000" w:firstRow="0" w:lastRow="0" w:firstColumn="1" w:lastColumn="0" w:oddVBand="0" w:evenVBand="0" w:oddHBand="0" w:evenHBand="0" w:firstRowFirstColumn="0" w:firstRowLastColumn="0" w:lastRowFirstColumn="0" w:lastRowLastColumn="0"/>
            <w:tcW w:w="3114" w:type="dxa"/>
            <w:vAlign w:val="center"/>
          </w:tcPr>
          <w:p w14:paraId="04A3D8BF" w14:textId="77777777" w:rsidR="005A1EE2" w:rsidRPr="005A1EE2" w:rsidRDefault="005A1EE2" w:rsidP="003376F6">
            <w:pPr>
              <w:rPr>
                <w:rFonts w:ascii="Calibri" w:eastAsia="Times New Roman" w:hAnsi="Calibri" w:cs="Calibri"/>
                <w:color w:val="000000"/>
                <w:lang w:eastAsia="en-GB"/>
              </w:rPr>
            </w:pPr>
            <w:r w:rsidRPr="005A1EE2">
              <w:rPr>
                <w:rFonts w:ascii="Calibri" w:eastAsia="Times New Roman" w:hAnsi="Calibri" w:cs="Calibri"/>
                <w:color w:val="000000"/>
                <w:lang w:eastAsia="en-GB"/>
              </w:rPr>
              <w:t>Anti-Ribosomal P antibody</w:t>
            </w:r>
          </w:p>
        </w:tc>
        <w:tc>
          <w:tcPr>
            <w:tcW w:w="1141" w:type="dxa"/>
            <w:vAlign w:val="center"/>
          </w:tcPr>
          <w:p w14:paraId="1CBECDA3"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&lt;5</w:t>
            </w:r>
          </w:p>
        </w:tc>
        <w:tc>
          <w:tcPr>
            <w:tcW w:w="2474" w:type="dxa"/>
            <w:vAlign w:val="center"/>
          </w:tcPr>
          <w:p w14:paraId="5EE3AD2C"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5-15</w:t>
            </w:r>
          </w:p>
        </w:tc>
        <w:tc>
          <w:tcPr>
            <w:tcW w:w="964" w:type="dxa"/>
            <w:vAlign w:val="center"/>
          </w:tcPr>
          <w:p w14:paraId="5F774B59"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 = 15</w:t>
            </w:r>
          </w:p>
        </w:tc>
        <w:tc>
          <w:tcPr>
            <w:tcW w:w="992" w:type="dxa"/>
          </w:tcPr>
          <w:p w14:paraId="7E92716A" w14:textId="77777777" w:rsidR="005A1EE2" w:rsidRPr="005A1EE2" w:rsidRDefault="005A1EE2" w:rsidP="003376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A1EE2">
              <w:rPr>
                <w:rFonts w:ascii="Calibri" w:eastAsia="Times New Roman" w:hAnsi="Calibri" w:cs="Calibri"/>
                <w:color w:val="000000"/>
                <w:lang w:eastAsia="en-GB"/>
              </w:rPr>
              <w:t>U</w:t>
            </w:r>
          </w:p>
        </w:tc>
      </w:tr>
    </w:tbl>
    <w:p w14:paraId="0CF5BB25" w14:textId="77777777" w:rsidR="005A1EE2" w:rsidRPr="00D3335E" w:rsidRDefault="005A1EE2" w:rsidP="005A1EE2">
      <w:pPr>
        <w:rPr>
          <w:b/>
        </w:rPr>
      </w:pPr>
    </w:p>
    <w:p w14:paraId="4A192D8B" w14:textId="77777777" w:rsidR="005A1EE2" w:rsidRPr="00D3335E" w:rsidRDefault="005A1EE2" w:rsidP="005A1EE2">
      <w:r w:rsidRPr="00D3335E">
        <w:t xml:space="preserve">Borderline ENA results </w:t>
      </w:r>
      <w:r>
        <w:t xml:space="preserve">(except Ribosomal P antibodies) </w:t>
      </w:r>
      <w:r w:rsidRPr="00D3335E">
        <w:t>are confirmed by ENA immunoblot method.</w:t>
      </w:r>
    </w:p>
    <w:p w14:paraId="42F502B1" w14:textId="77777777" w:rsidR="005A1EE2" w:rsidRPr="00D3335E" w:rsidRDefault="005A1EE2" w:rsidP="005A1EE2"/>
    <w:tbl>
      <w:tblPr>
        <w:tblW w:w="0" w:type="auto"/>
        <w:tblCellMar>
          <w:left w:w="0" w:type="dxa"/>
          <w:right w:w="0" w:type="dxa"/>
        </w:tblCellMar>
        <w:tblLook w:val="04A0" w:firstRow="1" w:lastRow="0" w:firstColumn="1" w:lastColumn="0" w:noHBand="0" w:noVBand="1"/>
      </w:tblPr>
      <w:tblGrid>
        <w:gridCol w:w="3114"/>
        <w:gridCol w:w="3261"/>
      </w:tblGrid>
      <w:tr w:rsidR="005A1EE2" w14:paraId="5A1823B5" w14:textId="77777777" w:rsidTr="003376F6">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7507EF" w14:textId="77777777" w:rsidR="005A1EE2" w:rsidRDefault="005A1EE2" w:rsidP="003376F6">
            <w:pPr>
              <w:jc w:val="center"/>
              <w:rPr>
                <w:b/>
                <w:bCs/>
                <w:sz w:val="24"/>
                <w:szCs w:val="24"/>
              </w:rPr>
            </w:pPr>
            <w:r>
              <w:rPr>
                <w:b/>
                <w:bCs/>
                <w:sz w:val="24"/>
                <w:szCs w:val="24"/>
              </w:rPr>
              <w:t>Test</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E282D" w14:textId="77777777" w:rsidR="005A1EE2" w:rsidRDefault="005A1EE2" w:rsidP="003376F6">
            <w:pPr>
              <w:jc w:val="center"/>
              <w:rPr>
                <w:b/>
                <w:bCs/>
                <w:sz w:val="24"/>
                <w:szCs w:val="24"/>
              </w:rPr>
            </w:pPr>
            <w:r>
              <w:rPr>
                <w:b/>
                <w:bCs/>
                <w:sz w:val="24"/>
                <w:szCs w:val="24"/>
              </w:rPr>
              <w:t>New reference range/units</w:t>
            </w:r>
          </w:p>
        </w:tc>
      </w:tr>
      <w:tr w:rsidR="005A1EE2" w14:paraId="545E1611" w14:textId="77777777" w:rsidTr="003376F6">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EBD07" w14:textId="77777777" w:rsidR="005A1EE2" w:rsidRDefault="005A1EE2" w:rsidP="003376F6">
            <w:pPr>
              <w:rPr>
                <w:b/>
                <w:bCs/>
              </w:rPr>
            </w:pPr>
            <w:r>
              <w:rPr>
                <w:b/>
                <w:bCs/>
              </w:rPr>
              <w:t>Coeliac Screen</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1546B36D" w14:textId="77777777" w:rsidR="005A1EE2" w:rsidRDefault="005A1EE2" w:rsidP="003376F6"/>
        </w:tc>
      </w:tr>
      <w:tr w:rsidR="005A1EE2" w14:paraId="3FBA60BB" w14:textId="77777777" w:rsidTr="003376F6">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1703B" w14:textId="77777777" w:rsidR="005A1EE2" w:rsidRDefault="005A1EE2" w:rsidP="003376F6">
            <w:r>
              <w:t>  IgA tissue transglutaminase</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58BB4A0B" w14:textId="77777777" w:rsidR="005A1EE2" w:rsidRDefault="005A1EE2" w:rsidP="003376F6">
            <w:r>
              <w:t>Negative &lt;5 Units</w:t>
            </w:r>
          </w:p>
          <w:p w14:paraId="24147432" w14:textId="77777777" w:rsidR="005A1EE2" w:rsidRDefault="005A1EE2" w:rsidP="003376F6">
            <w:r>
              <w:t xml:space="preserve">Positive </w:t>
            </w:r>
            <w:r>
              <w:rPr>
                <w:rFonts w:cstheme="minorHAnsi"/>
              </w:rPr>
              <w:t>≥</w:t>
            </w:r>
            <w:r>
              <w:t>5 Units</w:t>
            </w:r>
          </w:p>
        </w:tc>
      </w:tr>
      <w:tr w:rsidR="005A1EE2" w14:paraId="5B689812" w14:textId="77777777" w:rsidTr="003376F6">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DB31B" w14:textId="77777777" w:rsidR="005A1EE2" w:rsidRDefault="005A1EE2" w:rsidP="003376F6">
            <w:r>
              <w:t>  IgG tissue transglutaminase</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4A6D1675" w14:textId="77777777" w:rsidR="005A1EE2" w:rsidRDefault="005A1EE2" w:rsidP="003376F6">
            <w:r>
              <w:t>Negative &lt;5 Units</w:t>
            </w:r>
          </w:p>
          <w:p w14:paraId="560365E3" w14:textId="77777777" w:rsidR="005A1EE2" w:rsidRDefault="005A1EE2" w:rsidP="003376F6">
            <w:r>
              <w:t xml:space="preserve">Positive </w:t>
            </w:r>
            <w:r>
              <w:rPr>
                <w:rFonts w:cstheme="minorHAnsi"/>
              </w:rPr>
              <w:t>≥</w:t>
            </w:r>
            <w:r>
              <w:t>5 Units</w:t>
            </w:r>
          </w:p>
        </w:tc>
      </w:tr>
      <w:tr w:rsidR="005A1EE2" w14:paraId="16579FDA" w14:textId="77777777" w:rsidTr="003376F6">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EC5E0" w14:textId="77777777" w:rsidR="005A1EE2" w:rsidRDefault="005A1EE2" w:rsidP="003376F6">
            <w:pPr>
              <w:rPr>
                <w:b/>
                <w:bCs/>
              </w:rPr>
            </w:pPr>
            <w:r>
              <w:rPr>
                <w:b/>
                <w:bCs/>
              </w:rPr>
              <w:t>Anti-phospholipid antibodies</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241A0C53" w14:textId="77777777" w:rsidR="005A1EE2" w:rsidRDefault="005A1EE2" w:rsidP="003376F6"/>
        </w:tc>
      </w:tr>
      <w:tr w:rsidR="005A1EE2" w14:paraId="10E708D0" w14:textId="77777777" w:rsidTr="003376F6">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C1D8D" w14:textId="77777777" w:rsidR="005A1EE2" w:rsidRDefault="005A1EE2" w:rsidP="003376F6">
            <w:r>
              <w:t>  IgG cardiolipin</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12267C46" w14:textId="77777777" w:rsidR="005A1EE2" w:rsidRDefault="005A1EE2" w:rsidP="003376F6">
            <w:r>
              <w:t>Negative &lt;20 CU</w:t>
            </w:r>
          </w:p>
          <w:p w14:paraId="697A38EF" w14:textId="77777777" w:rsidR="005A1EE2" w:rsidRPr="007553A8" w:rsidRDefault="005A1EE2" w:rsidP="003376F6">
            <w:pPr>
              <w:rPr>
                <w:u w:val="single"/>
              </w:rPr>
            </w:pPr>
            <w:r>
              <w:t xml:space="preserve">Positive </w:t>
            </w:r>
            <w:r>
              <w:rPr>
                <w:rFonts w:cstheme="minorHAnsi"/>
              </w:rPr>
              <w:t>≥</w:t>
            </w:r>
            <w:r>
              <w:t xml:space="preserve">20 </w:t>
            </w:r>
            <w:r w:rsidRPr="007553A8">
              <w:t>CU</w:t>
            </w:r>
          </w:p>
        </w:tc>
      </w:tr>
      <w:tr w:rsidR="005A1EE2" w14:paraId="18C4DDBF" w14:textId="77777777" w:rsidTr="003376F6">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9BAD4" w14:textId="77777777" w:rsidR="005A1EE2" w:rsidRDefault="005A1EE2" w:rsidP="003376F6">
            <w:r>
              <w:t>  IgG Beta-2-glycoprotein 1</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49911162" w14:textId="77777777" w:rsidR="005A1EE2" w:rsidRDefault="005A1EE2" w:rsidP="003376F6">
            <w:r>
              <w:t>Negative &lt;20 CU</w:t>
            </w:r>
          </w:p>
          <w:p w14:paraId="5D54C98C" w14:textId="77777777" w:rsidR="005A1EE2" w:rsidRDefault="005A1EE2" w:rsidP="003376F6">
            <w:r>
              <w:t xml:space="preserve">Positive </w:t>
            </w:r>
            <w:r>
              <w:rPr>
                <w:rFonts w:cstheme="minorHAnsi"/>
              </w:rPr>
              <w:t>≥</w:t>
            </w:r>
            <w:r>
              <w:t>20 CU</w:t>
            </w:r>
          </w:p>
        </w:tc>
      </w:tr>
      <w:tr w:rsidR="005A1EE2" w14:paraId="0BB510AC" w14:textId="77777777" w:rsidTr="003376F6">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BB2B7" w14:textId="77777777" w:rsidR="005A1EE2" w:rsidRDefault="005A1EE2" w:rsidP="003376F6">
            <w:pPr>
              <w:rPr>
                <w:b/>
                <w:bCs/>
              </w:rPr>
            </w:pPr>
            <w:r>
              <w:rPr>
                <w:b/>
                <w:bCs/>
              </w:rPr>
              <w:t>Anti-CCP Ab</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4B83F783" w14:textId="77777777" w:rsidR="005A1EE2" w:rsidRDefault="005A1EE2" w:rsidP="003376F6">
            <w:r>
              <w:t>Negative &lt;10 CU</w:t>
            </w:r>
          </w:p>
          <w:p w14:paraId="20BB3F0C" w14:textId="77777777" w:rsidR="005A1EE2" w:rsidRDefault="005A1EE2" w:rsidP="003376F6">
            <w:r>
              <w:t>Indeterminant 10-20 CU</w:t>
            </w:r>
          </w:p>
          <w:p w14:paraId="4A6E7CC3" w14:textId="77777777" w:rsidR="005A1EE2" w:rsidRDefault="005A1EE2" w:rsidP="003376F6">
            <w:r>
              <w:t xml:space="preserve">Positive </w:t>
            </w:r>
            <w:r>
              <w:rPr>
                <w:rFonts w:cstheme="minorHAnsi"/>
              </w:rPr>
              <w:t>≥</w:t>
            </w:r>
            <w:r>
              <w:t>20 CU</w:t>
            </w:r>
          </w:p>
        </w:tc>
      </w:tr>
      <w:tr w:rsidR="005A1EE2" w14:paraId="195A2F15" w14:textId="77777777" w:rsidTr="003376F6">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4D4311" w14:textId="77777777" w:rsidR="005A1EE2" w:rsidRDefault="005A1EE2" w:rsidP="003376F6">
            <w:pPr>
              <w:rPr>
                <w:b/>
                <w:bCs/>
              </w:rPr>
            </w:pPr>
            <w:r>
              <w:rPr>
                <w:b/>
                <w:bCs/>
              </w:rPr>
              <w:t>Rheumatoid Factor</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7B12BFEF" w14:textId="77777777" w:rsidR="005A1EE2" w:rsidRDefault="005A1EE2" w:rsidP="003376F6">
            <w:r>
              <w:t>Negative &lt;15 IU/mL</w:t>
            </w:r>
          </w:p>
        </w:tc>
      </w:tr>
      <w:tr w:rsidR="005A1EE2" w14:paraId="181C6344" w14:textId="77777777" w:rsidTr="003376F6">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D0AD4" w14:textId="77777777" w:rsidR="005A1EE2" w:rsidRDefault="005A1EE2" w:rsidP="003376F6">
            <w:pPr>
              <w:rPr>
                <w:b/>
                <w:bCs/>
              </w:rPr>
            </w:pPr>
            <w:r>
              <w:rPr>
                <w:b/>
                <w:bCs/>
              </w:rPr>
              <w:t>ANCA MPO and PR3 Ab</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5C252475" w14:textId="77777777" w:rsidR="005A1EE2" w:rsidRDefault="005A1EE2" w:rsidP="003376F6">
            <w:r>
              <w:t>Negative &lt;20 CU</w:t>
            </w:r>
          </w:p>
          <w:p w14:paraId="17F4743F" w14:textId="77777777" w:rsidR="005A1EE2" w:rsidRDefault="005A1EE2" w:rsidP="003376F6">
            <w:r>
              <w:t xml:space="preserve">Positive </w:t>
            </w:r>
            <w:r>
              <w:rPr>
                <w:rFonts w:cstheme="minorHAnsi"/>
              </w:rPr>
              <w:t>≥</w:t>
            </w:r>
            <w:r>
              <w:t>20 CU</w:t>
            </w:r>
          </w:p>
        </w:tc>
      </w:tr>
      <w:tr w:rsidR="005A1EE2" w14:paraId="6E36D317" w14:textId="77777777" w:rsidTr="003376F6">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8DB08" w14:textId="77777777" w:rsidR="005A1EE2" w:rsidRDefault="005A1EE2" w:rsidP="003376F6">
            <w:pPr>
              <w:rPr>
                <w:b/>
                <w:bCs/>
              </w:rPr>
            </w:pPr>
            <w:r>
              <w:rPr>
                <w:b/>
                <w:bCs/>
              </w:rPr>
              <w:t>Anti-GBM Ab</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189785A5" w14:textId="77777777" w:rsidR="005A1EE2" w:rsidRDefault="005A1EE2" w:rsidP="003376F6">
            <w:r>
              <w:t>Negative &lt;20 CU</w:t>
            </w:r>
          </w:p>
          <w:p w14:paraId="07EEC637" w14:textId="77777777" w:rsidR="005A1EE2" w:rsidRDefault="005A1EE2" w:rsidP="003376F6">
            <w:r>
              <w:t xml:space="preserve">Positive </w:t>
            </w:r>
            <w:r>
              <w:rPr>
                <w:rFonts w:cstheme="minorHAnsi"/>
              </w:rPr>
              <w:t>≥</w:t>
            </w:r>
            <w:r>
              <w:t>20 CU</w:t>
            </w:r>
          </w:p>
        </w:tc>
      </w:tr>
    </w:tbl>
    <w:p w14:paraId="484D1284" w14:textId="77777777" w:rsidR="005A1EE2" w:rsidRPr="00D031CE" w:rsidRDefault="005A1EE2" w:rsidP="005A1EE2">
      <w:pPr>
        <w:rPr>
          <w:rFonts w:cstheme="minorHAnsi"/>
        </w:rPr>
      </w:pPr>
    </w:p>
    <w:p w14:paraId="4FCC20DA" w14:textId="77777777" w:rsidR="005A1EE2" w:rsidRPr="009A7038" w:rsidRDefault="005A1EE2" w:rsidP="005A1EE2">
      <w:pPr>
        <w:rPr>
          <w:sz w:val="18"/>
        </w:rPr>
      </w:pPr>
    </w:p>
    <w:p w14:paraId="65152F4C" w14:textId="77777777" w:rsidR="005A1EE2" w:rsidRPr="009A7038" w:rsidRDefault="005A1EE2" w:rsidP="005A1EE2">
      <w:pPr>
        <w:rPr>
          <w:sz w:val="18"/>
        </w:rPr>
      </w:pPr>
    </w:p>
    <w:p w14:paraId="78C46A38" w14:textId="77777777" w:rsidR="005A1EE2" w:rsidRPr="009A7038" w:rsidRDefault="005A1EE2" w:rsidP="005A1EE2">
      <w:pPr>
        <w:rPr>
          <w:sz w:val="18"/>
        </w:rPr>
      </w:pPr>
    </w:p>
    <w:p w14:paraId="5D0CC76B" w14:textId="77777777" w:rsidR="00C32524" w:rsidRPr="005A1EE2" w:rsidRDefault="00C32524" w:rsidP="005A1EE2"/>
    <w:sectPr w:rsidR="00C32524" w:rsidRPr="005A1EE2" w:rsidSect="00AF49C1">
      <w:headerReference w:type="default" r:id="rId8"/>
      <w:pgSz w:w="11906" w:h="16838" w:code="9"/>
      <w:pgMar w:top="1191" w:right="1134" w:bottom="1191" w:left="1134" w:header="39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5BA9" w14:textId="77777777" w:rsidR="00E31267" w:rsidRDefault="00E31267">
      <w:pPr>
        <w:spacing w:after="0"/>
      </w:pPr>
      <w:r>
        <w:separator/>
      </w:r>
    </w:p>
  </w:endnote>
  <w:endnote w:type="continuationSeparator" w:id="0">
    <w:p w14:paraId="19E4D162" w14:textId="77777777" w:rsidR="00E31267" w:rsidRDefault="00E31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86B87" w14:textId="77777777" w:rsidR="00E31267" w:rsidRDefault="00E31267">
      <w:pPr>
        <w:spacing w:after="0"/>
      </w:pPr>
      <w:r>
        <w:separator/>
      </w:r>
    </w:p>
  </w:footnote>
  <w:footnote w:type="continuationSeparator" w:id="0">
    <w:p w14:paraId="01C1975E" w14:textId="77777777" w:rsidR="00E31267" w:rsidRDefault="00E312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8" w:type="dxa"/>
      <w:tblBorders>
        <w:top w:val="single" w:sz="4" w:space="0" w:color="auto"/>
        <w:bottom w:val="single" w:sz="4" w:space="0" w:color="auto"/>
      </w:tblBorders>
      <w:tblLayout w:type="fixed"/>
      <w:tblLook w:val="0000" w:firstRow="0" w:lastRow="0" w:firstColumn="0" w:lastColumn="0" w:noHBand="0" w:noVBand="0"/>
    </w:tblPr>
    <w:tblGrid>
      <w:gridCol w:w="10206"/>
    </w:tblGrid>
    <w:tr w:rsidR="00C32524" w14:paraId="5704923C" w14:textId="77777777" w:rsidTr="00496B22">
      <w:trPr>
        <w:trHeight w:val="422"/>
        <w:tblHeader/>
      </w:trPr>
      <w:tc>
        <w:tcPr>
          <w:tcW w:w="10206" w:type="dxa"/>
          <w:shd w:val="pct5" w:color="auto" w:fill="FFFFFF"/>
        </w:tcPr>
        <w:p w14:paraId="47CC8AE2" w14:textId="600A52C7" w:rsidR="000C793B" w:rsidRPr="005A1EE2" w:rsidRDefault="00C32524" w:rsidP="009176EA">
          <w:pPr>
            <w:pStyle w:val="Header"/>
            <w:tabs>
              <w:tab w:val="clear" w:pos="8306"/>
              <w:tab w:val="right" w:pos="9531"/>
            </w:tabs>
            <w:spacing w:before="10" w:after="40"/>
            <w:rPr>
              <w:rFonts w:cs="Arial"/>
              <w:bCs/>
              <w:i/>
              <w:sz w:val="18"/>
              <w:szCs w:val="18"/>
            </w:rPr>
          </w:pPr>
          <w:r w:rsidRPr="005A1EE2">
            <w:rPr>
              <w:rFonts w:cs="Arial"/>
              <w:bCs/>
              <w:noProof/>
              <w:sz w:val="18"/>
              <w:szCs w:val="18"/>
              <w:lang w:eastAsia="en-GB"/>
            </w:rPr>
            <w:drawing>
              <wp:anchor distT="0" distB="0" distL="114300" distR="114300" simplePos="0" relativeHeight="251661824" behindDoc="0" locked="0" layoutInCell="1" allowOverlap="1" wp14:anchorId="2697FD74" wp14:editId="2FE30BD8">
                <wp:simplePos x="0" y="0"/>
                <wp:positionH relativeFrom="column">
                  <wp:posOffset>3070190</wp:posOffset>
                </wp:positionH>
                <wp:positionV relativeFrom="paragraph">
                  <wp:posOffset>69359</wp:posOffset>
                </wp:positionV>
                <wp:extent cx="3242818" cy="543464"/>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9841" cy="547993"/>
                        </a:xfrm>
                        <a:prstGeom prst="rect">
                          <a:avLst/>
                        </a:prstGeom>
                        <a:noFill/>
                      </pic:spPr>
                    </pic:pic>
                  </a:graphicData>
                </a:graphic>
                <wp14:sizeRelH relativeFrom="page">
                  <wp14:pctWidth>0</wp14:pctWidth>
                </wp14:sizeRelH>
                <wp14:sizeRelV relativeFrom="page">
                  <wp14:pctHeight>0</wp14:pctHeight>
                </wp14:sizeRelV>
              </wp:anchor>
            </w:drawing>
          </w:r>
          <w:r w:rsidRPr="005A1EE2">
            <w:rPr>
              <w:rFonts w:cs="Arial"/>
              <w:bCs/>
              <w:sz w:val="18"/>
              <w:szCs w:val="18"/>
            </w:rPr>
            <w:t xml:space="preserve">Service:   </w:t>
          </w:r>
          <w:r w:rsidR="00DA4A21" w:rsidRPr="005A1EE2">
            <w:rPr>
              <w:rFonts w:cs="Arial"/>
              <w:bCs/>
              <w:i/>
              <w:sz w:val="18"/>
              <w:szCs w:val="18"/>
            </w:rPr>
            <w:t>SHYPS</w:t>
          </w:r>
          <w:r w:rsidR="000C793B" w:rsidRPr="005A1EE2">
            <w:rPr>
              <w:rFonts w:cs="Arial"/>
              <w:bCs/>
              <w:i/>
              <w:sz w:val="18"/>
              <w:szCs w:val="18"/>
            </w:rPr>
            <w:t xml:space="preserve"> Immunology York &amp; Scarborough</w:t>
          </w:r>
        </w:p>
        <w:p w14:paraId="3586EAFF" w14:textId="336733E2" w:rsidR="00C32524" w:rsidRPr="005A1EE2" w:rsidRDefault="00C32524" w:rsidP="009176EA">
          <w:pPr>
            <w:pStyle w:val="Header"/>
            <w:tabs>
              <w:tab w:val="clear" w:pos="8306"/>
              <w:tab w:val="right" w:pos="9531"/>
            </w:tabs>
            <w:spacing w:before="10" w:after="40"/>
            <w:rPr>
              <w:rFonts w:cs="Arial"/>
              <w:bCs/>
              <w:sz w:val="18"/>
              <w:szCs w:val="18"/>
            </w:rPr>
          </w:pPr>
          <w:r w:rsidRPr="005A1EE2">
            <w:rPr>
              <w:rFonts w:cs="Arial"/>
              <w:bCs/>
              <w:sz w:val="18"/>
              <w:szCs w:val="18"/>
            </w:rPr>
            <w:t>Filename:</w:t>
          </w:r>
          <w:r w:rsidRPr="005A1EE2">
            <w:rPr>
              <w:sz w:val="18"/>
              <w:szCs w:val="18"/>
            </w:rPr>
            <w:t xml:space="preserve"> </w:t>
          </w:r>
          <w:r w:rsidR="000C793B" w:rsidRPr="005A1EE2">
            <w:rPr>
              <w:i/>
              <w:sz w:val="18"/>
              <w:szCs w:val="18"/>
            </w:rPr>
            <w:t>IM</w:t>
          </w:r>
          <w:r w:rsidRPr="005A1EE2">
            <w:rPr>
              <w:i/>
              <w:sz w:val="18"/>
              <w:szCs w:val="18"/>
            </w:rPr>
            <w:t>-</w:t>
          </w:r>
          <w:r w:rsidR="000C793B" w:rsidRPr="005A1EE2">
            <w:rPr>
              <w:i/>
              <w:sz w:val="18"/>
              <w:szCs w:val="18"/>
            </w:rPr>
            <w:t>INF</w:t>
          </w:r>
          <w:r w:rsidRPr="005A1EE2">
            <w:rPr>
              <w:i/>
              <w:sz w:val="18"/>
              <w:szCs w:val="18"/>
            </w:rPr>
            <w:t>-</w:t>
          </w:r>
          <w:r w:rsidR="00724AC3" w:rsidRPr="005A1EE2">
            <w:rPr>
              <w:i/>
              <w:sz w:val="18"/>
              <w:szCs w:val="18"/>
            </w:rPr>
            <w:t>HULL</w:t>
          </w:r>
          <w:r w:rsidRPr="005A1EE2">
            <w:rPr>
              <w:i/>
              <w:sz w:val="18"/>
              <w:szCs w:val="18"/>
            </w:rPr>
            <w:t xml:space="preserve"> </w:t>
          </w:r>
        </w:p>
        <w:p w14:paraId="13F209F0" w14:textId="2CFD0306" w:rsidR="00C32524" w:rsidRPr="005A1EE2" w:rsidRDefault="00C32524" w:rsidP="009176EA">
          <w:pPr>
            <w:pStyle w:val="Header"/>
            <w:tabs>
              <w:tab w:val="clear" w:pos="4153"/>
              <w:tab w:val="center" w:pos="9459"/>
            </w:tabs>
            <w:spacing w:before="10" w:after="40"/>
            <w:rPr>
              <w:rFonts w:cs="Arial"/>
              <w:bCs/>
              <w:sz w:val="18"/>
              <w:szCs w:val="18"/>
            </w:rPr>
          </w:pPr>
          <w:r w:rsidRPr="005A1EE2">
            <w:rPr>
              <w:rFonts w:cs="Arial"/>
              <w:bCs/>
              <w:sz w:val="18"/>
              <w:szCs w:val="18"/>
            </w:rPr>
            <w:t xml:space="preserve">Version: </w:t>
          </w:r>
          <w:r w:rsidR="000C793B" w:rsidRPr="005A1EE2">
            <w:rPr>
              <w:bCs/>
              <w:i/>
              <w:sz w:val="18"/>
              <w:szCs w:val="18"/>
            </w:rPr>
            <w:t>0</w:t>
          </w:r>
          <w:r w:rsidR="005A1EE2" w:rsidRPr="005A1EE2">
            <w:rPr>
              <w:bCs/>
              <w:i/>
              <w:sz w:val="18"/>
              <w:szCs w:val="18"/>
            </w:rPr>
            <w:t>3</w:t>
          </w:r>
          <w:r w:rsidRPr="005A1EE2">
            <w:rPr>
              <w:bCs/>
              <w:i/>
              <w:sz w:val="18"/>
              <w:szCs w:val="18"/>
            </w:rPr>
            <w:t xml:space="preserve"> </w:t>
          </w:r>
          <w:r w:rsidRPr="005A1EE2">
            <w:rPr>
              <w:i/>
              <w:sz w:val="18"/>
              <w:szCs w:val="18"/>
            </w:rPr>
            <w:t xml:space="preserve">                                                                                                 </w:t>
          </w:r>
          <w:r w:rsidRPr="005A1EE2">
            <w:rPr>
              <w:rFonts w:cs="Arial"/>
              <w:bCs/>
              <w:i/>
              <w:sz w:val="18"/>
              <w:szCs w:val="18"/>
            </w:rPr>
            <w:t xml:space="preserve">                                              </w:t>
          </w:r>
        </w:p>
        <w:p w14:paraId="4773F2BC" w14:textId="0169D0F4" w:rsidR="00C32524" w:rsidRPr="005A1EE2" w:rsidRDefault="00C32524" w:rsidP="009176EA">
          <w:pPr>
            <w:pStyle w:val="Header"/>
            <w:tabs>
              <w:tab w:val="clear" w:pos="4153"/>
              <w:tab w:val="center" w:pos="9459"/>
            </w:tabs>
            <w:spacing w:before="10" w:after="40"/>
            <w:rPr>
              <w:rFonts w:cs="Arial"/>
              <w:bCs/>
              <w:sz w:val="18"/>
              <w:szCs w:val="18"/>
            </w:rPr>
          </w:pPr>
          <w:r w:rsidRPr="005A1EE2">
            <w:rPr>
              <w:rFonts w:cs="Arial"/>
              <w:bCs/>
              <w:sz w:val="18"/>
              <w:szCs w:val="18"/>
            </w:rPr>
            <w:t xml:space="preserve">Date of Issue:  </w:t>
          </w:r>
          <w:r w:rsidR="00F63D4E" w:rsidRPr="005A1EE2">
            <w:rPr>
              <w:rFonts w:cs="Arial"/>
              <w:bCs/>
              <w:i/>
              <w:sz w:val="18"/>
              <w:szCs w:val="18"/>
            </w:rPr>
            <w:t>April</w:t>
          </w:r>
          <w:r w:rsidR="000C793B" w:rsidRPr="005A1EE2">
            <w:rPr>
              <w:rFonts w:cs="Arial"/>
              <w:bCs/>
              <w:i/>
              <w:sz w:val="18"/>
              <w:szCs w:val="18"/>
            </w:rPr>
            <w:t xml:space="preserve"> </w:t>
          </w:r>
          <w:r w:rsidRPr="005A1EE2">
            <w:rPr>
              <w:rFonts w:cs="Arial"/>
              <w:bCs/>
              <w:i/>
              <w:sz w:val="18"/>
              <w:szCs w:val="18"/>
            </w:rPr>
            <w:t>202</w:t>
          </w:r>
          <w:r w:rsidR="000C793B" w:rsidRPr="005A1EE2">
            <w:rPr>
              <w:rFonts w:cs="Arial"/>
              <w:bCs/>
              <w:i/>
              <w:sz w:val="18"/>
              <w:szCs w:val="18"/>
            </w:rPr>
            <w:t>3</w:t>
          </w:r>
          <w:r w:rsidRPr="005A1EE2">
            <w:rPr>
              <w:i/>
              <w:sz w:val="18"/>
              <w:szCs w:val="18"/>
            </w:rPr>
            <w:t xml:space="preserve">                                                  </w:t>
          </w:r>
          <w:r w:rsidRPr="005A1EE2">
            <w:rPr>
              <w:rFonts w:cs="Arial"/>
              <w:bCs/>
              <w:i/>
              <w:sz w:val="18"/>
              <w:szCs w:val="18"/>
            </w:rPr>
            <w:t xml:space="preserve">                                                                                                                                                                     </w:t>
          </w:r>
        </w:p>
        <w:p w14:paraId="4633F921" w14:textId="2217076F" w:rsidR="00C32524" w:rsidRPr="005A1EE2" w:rsidRDefault="00BD16DB" w:rsidP="009176EA">
          <w:pPr>
            <w:pStyle w:val="Header"/>
            <w:spacing w:before="10" w:after="40"/>
            <w:rPr>
              <w:rFonts w:cs="Arial"/>
              <w:bCs/>
              <w:i/>
              <w:sz w:val="18"/>
              <w:szCs w:val="18"/>
            </w:rPr>
          </w:pPr>
          <w:r w:rsidRPr="005A1EE2">
            <w:rPr>
              <w:rFonts w:cs="Arial"/>
              <w:bCs/>
              <w:sz w:val="18"/>
              <w:szCs w:val="18"/>
            </w:rPr>
            <w:t>Owner</w:t>
          </w:r>
          <w:r w:rsidR="00736721" w:rsidRPr="005A1EE2">
            <w:rPr>
              <w:rFonts w:cs="Arial"/>
              <w:bCs/>
              <w:sz w:val="18"/>
              <w:szCs w:val="18"/>
            </w:rPr>
            <w:t>:</w:t>
          </w:r>
          <w:r w:rsidR="000200D5" w:rsidRPr="005A1EE2">
            <w:rPr>
              <w:rFonts w:cs="Arial"/>
              <w:bCs/>
              <w:sz w:val="18"/>
              <w:szCs w:val="18"/>
            </w:rPr>
            <w:t xml:space="preserve">  </w:t>
          </w:r>
          <w:r w:rsidR="000C793B" w:rsidRPr="005A1EE2">
            <w:rPr>
              <w:rFonts w:cs="Arial"/>
              <w:bCs/>
              <w:i/>
              <w:sz w:val="18"/>
              <w:szCs w:val="18"/>
            </w:rPr>
            <w:t>Anna McHugh</w:t>
          </w:r>
        </w:p>
        <w:p w14:paraId="52E930DE" w14:textId="77777777" w:rsidR="00C32524" w:rsidRPr="005B12C0" w:rsidRDefault="00C32524" w:rsidP="009176EA">
          <w:pPr>
            <w:pStyle w:val="Header"/>
            <w:spacing w:before="10" w:after="40"/>
            <w:rPr>
              <w:rFonts w:cs="Arial"/>
              <w:bCs/>
              <w:sz w:val="18"/>
              <w:szCs w:val="18"/>
            </w:rPr>
          </w:pPr>
          <w:r w:rsidRPr="00035BE2">
            <w:rPr>
              <w:rFonts w:cs="Arial"/>
              <w:bCs/>
              <w:snapToGrid w:val="0"/>
              <w:sz w:val="18"/>
              <w:szCs w:val="18"/>
            </w:rPr>
            <w:t xml:space="preserve">Page </w:t>
          </w:r>
          <w:r w:rsidRPr="00035BE2">
            <w:rPr>
              <w:rFonts w:cs="Arial"/>
              <w:bCs/>
              <w:snapToGrid w:val="0"/>
              <w:sz w:val="18"/>
              <w:szCs w:val="18"/>
            </w:rPr>
            <w:fldChar w:fldCharType="begin"/>
          </w:r>
          <w:r w:rsidRPr="00035BE2">
            <w:rPr>
              <w:rFonts w:cs="Arial"/>
              <w:bCs/>
              <w:snapToGrid w:val="0"/>
              <w:sz w:val="18"/>
              <w:szCs w:val="18"/>
            </w:rPr>
            <w:instrText xml:space="preserve"> PAGE  \* MERGEFORMAT </w:instrText>
          </w:r>
          <w:r w:rsidRPr="00035BE2">
            <w:rPr>
              <w:rFonts w:cs="Arial"/>
              <w:bCs/>
              <w:snapToGrid w:val="0"/>
              <w:sz w:val="18"/>
              <w:szCs w:val="18"/>
            </w:rPr>
            <w:fldChar w:fldCharType="separate"/>
          </w:r>
          <w:r w:rsidR="003E397A" w:rsidRPr="003E397A">
            <w:rPr>
              <w:bCs/>
              <w:noProof/>
              <w:snapToGrid w:val="0"/>
              <w:sz w:val="18"/>
              <w:szCs w:val="18"/>
            </w:rPr>
            <w:t>1</w:t>
          </w:r>
          <w:r w:rsidRPr="00035BE2">
            <w:rPr>
              <w:rFonts w:cs="Arial"/>
              <w:bCs/>
              <w:snapToGrid w:val="0"/>
              <w:sz w:val="18"/>
              <w:szCs w:val="18"/>
            </w:rPr>
            <w:fldChar w:fldCharType="end"/>
          </w:r>
          <w:r w:rsidRPr="00035BE2">
            <w:rPr>
              <w:rFonts w:cs="Arial"/>
              <w:bCs/>
              <w:snapToGrid w:val="0"/>
              <w:sz w:val="18"/>
              <w:szCs w:val="18"/>
            </w:rPr>
            <w:t xml:space="preserve"> of </w:t>
          </w:r>
          <w:r w:rsidRPr="00035BE2">
            <w:rPr>
              <w:rFonts w:cs="Arial"/>
              <w:bCs/>
              <w:snapToGrid w:val="0"/>
              <w:sz w:val="18"/>
              <w:szCs w:val="18"/>
            </w:rPr>
            <w:fldChar w:fldCharType="begin"/>
          </w:r>
          <w:r w:rsidRPr="00035BE2">
            <w:rPr>
              <w:rFonts w:cs="Arial"/>
              <w:bCs/>
              <w:snapToGrid w:val="0"/>
              <w:sz w:val="18"/>
              <w:szCs w:val="18"/>
            </w:rPr>
            <w:instrText xml:space="preserve"> NUMPAGES  \* MERGEFORMAT </w:instrText>
          </w:r>
          <w:r w:rsidRPr="00035BE2">
            <w:rPr>
              <w:rFonts w:cs="Arial"/>
              <w:bCs/>
              <w:snapToGrid w:val="0"/>
              <w:sz w:val="18"/>
              <w:szCs w:val="18"/>
            </w:rPr>
            <w:fldChar w:fldCharType="separate"/>
          </w:r>
          <w:r w:rsidR="003E397A" w:rsidRPr="003E397A">
            <w:rPr>
              <w:bCs/>
              <w:noProof/>
              <w:snapToGrid w:val="0"/>
              <w:sz w:val="18"/>
              <w:szCs w:val="18"/>
            </w:rPr>
            <w:t>1</w:t>
          </w:r>
          <w:r w:rsidRPr="00035BE2">
            <w:rPr>
              <w:rFonts w:cs="Arial"/>
              <w:bCs/>
              <w:snapToGrid w:val="0"/>
              <w:sz w:val="18"/>
              <w:szCs w:val="18"/>
            </w:rPr>
            <w:fldChar w:fldCharType="end"/>
          </w:r>
        </w:p>
      </w:tc>
    </w:tr>
  </w:tbl>
  <w:p w14:paraId="656ADC9D" w14:textId="77777777" w:rsidR="00C32524" w:rsidRDefault="00C32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C57D7"/>
    <w:multiLevelType w:val="multilevel"/>
    <w:tmpl w:val="72E4260C"/>
    <w:lvl w:ilvl="0">
      <w:start w:val="1"/>
      <w:numFmt w:val="decimal"/>
      <w:lvlText w:val="%1"/>
      <w:lvlJc w:val="left"/>
      <w:pPr>
        <w:tabs>
          <w:tab w:val="num" w:pos="432"/>
        </w:tabs>
        <w:ind w:left="432" w:hanging="432"/>
      </w:pPr>
      <w:rPr>
        <w:rFonts w:ascii="Arial" w:hAnsi="Arial" w:hint="default"/>
        <w:b/>
        <w:i w:val="0"/>
        <w:sz w:val="22"/>
        <w:szCs w:val="22"/>
      </w:rPr>
    </w:lvl>
    <w:lvl w:ilvl="1">
      <w:start w:val="1"/>
      <w:numFmt w:val="decimal"/>
      <w:pStyle w:val="Heading2"/>
      <w:lvlText w:val="%1.%2"/>
      <w:lvlJc w:val="left"/>
      <w:pPr>
        <w:tabs>
          <w:tab w:val="num" w:pos="860"/>
        </w:tabs>
        <w:ind w:left="860"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6E7A0B95"/>
    <w:multiLevelType w:val="hybridMultilevel"/>
    <w:tmpl w:val="0F7C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646857">
    <w:abstractNumId w:val="0"/>
  </w:num>
  <w:num w:numId="2" w16cid:durableId="267546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06"/>
    <w:rsid w:val="000200D5"/>
    <w:rsid w:val="000C793B"/>
    <w:rsid w:val="00103BB5"/>
    <w:rsid w:val="00136575"/>
    <w:rsid w:val="00162687"/>
    <w:rsid w:val="00174B2C"/>
    <w:rsid w:val="00234084"/>
    <w:rsid w:val="0028765F"/>
    <w:rsid w:val="002E5CD4"/>
    <w:rsid w:val="00302DE8"/>
    <w:rsid w:val="003E397A"/>
    <w:rsid w:val="003F220C"/>
    <w:rsid w:val="00416FC1"/>
    <w:rsid w:val="0045480B"/>
    <w:rsid w:val="00465001"/>
    <w:rsid w:val="00564659"/>
    <w:rsid w:val="005A1EE2"/>
    <w:rsid w:val="005A574C"/>
    <w:rsid w:val="00642B14"/>
    <w:rsid w:val="0068774E"/>
    <w:rsid w:val="00724AC3"/>
    <w:rsid w:val="00736721"/>
    <w:rsid w:val="00766CB3"/>
    <w:rsid w:val="007E53EB"/>
    <w:rsid w:val="00833929"/>
    <w:rsid w:val="00851C05"/>
    <w:rsid w:val="00864EB7"/>
    <w:rsid w:val="00882288"/>
    <w:rsid w:val="00895E10"/>
    <w:rsid w:val="008E3BF1"/>
    <w:rsid w:val="009176EA"/>
    <w:rsid w:val="00945DC7"/>
    <w:rsid w:val="00A470DF"/>
    <w:rsid w:val="00AF49C1"/>
    <w:rsid w:val="00B255B9"/>
    <w:rsid w:val="00B70CD0"/>
    <w:rsid w:val="00B97313"/>
    <w:rsid w:val="00BD16DB"/>
    <w:rsid w:val="00C13174"/>
    <w:rsid w:val="00C32524"/>
    <w:rsid w:val="00C832EE"/>
    <w:rsid w:val="00C872D8"/>
    <w:rsid w:val="00CA5304"/>
    <w:rsid w:val="00CA6006"/>
    <w:rsid w:val="00CD338C"/>
    <w:rsid w:val="00CF3567"/>
    <w:rsid w:val="00D652AA"/>
    <w:rsid w:val="00DA4A21"/>
    <w:rsid w:val="00E04F10"/>
    <w:rsid w:val="00E31267"/>
    <w:rsid w:val="00E42452"/>
    <w:rsid w:val="00E46670"/>
    <w:rsid w:val="00EA6A91"/>
    <w:rsid w:val="00EB1CB6"/>
    <w:rsid w:val="00EF5D89"/>
    <w:rsid w:val="00F44BFD"/>
    <w:rsid w:val="00F51DAD"/>
    <w:rsid w:val="00F63D4E"/>
    <w:rsid w:val="00FB4846"/>
    <w:rsid w:val="00FF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3C15100"/>
  <w15:docId w15:val="{4345DE9F-FEFE-4DDB-85E5-F00E040C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006"/>
    <w:pPr>
      <w:spacing w:after="120"/>
    </w:pPr>
    <w:rPr>
      <w:rFonts w:ascii="Arial" w:hAnsi="Arial"/>
      <w:sz w:val="22"/>
      <w:lang w:eastAsia="en-US"/>
    </w:rPr>
  </w:style>
  <w:style w:type="paragraph" w:styleId="Heading1">
    <w:name w:val="heading 1"/>
    <w:basedOn w:val="Normal"/>
    <w:next w:val="Normal"/>
    <w:autoRedefine/>
    <w:qFormat/>
    <w:rsid w:val="000C793B"/>
    <w:pPr>
      <w:keepNext/>
      <w:spacing w:before="240"/>
      <w:jc w:val="center"/>
      <w:outlineLvl w:val="0"/>
    </w:pPr>
    <w:rPr>
      <w:rFonts w:cs="Arial"/>
      <w:b/>
      <w:sz w:val="28"/>
      <w:szCs w:val="28"/>
      <w:lang w:val="en-US"/>
    </w:rPr>
  </w:style>
  <w:style w:type="paragraph" w:styleId="Heading2">
    <w:name w:val="heading 2"/>
    <w:basedOn w:val="Normal"/>
    <w:next w:val="Normal"/>
    <w:autoRedefine/>
    <w:qFormat/>
    <w:rsid w:val="005A1EE2"/>
    <w:pPr>
      <w:keepNext/>
      <w:numPr>
        <w:ilvl w:val="1"/>
        <w:numId w:val="1"/>
      </w:numPr>
      <w:tabs>
        <w:tab w:val="clear" w:pos="860"/>
        <w:tab w:val="num" w:pos="576"/>
      </w:tabs>
      <w:spacing w:before="120" w:after="60"/>
      <w:ind w:left="578" w:hanging="578"/>
      <w:outlineLvl w:val="1"/>
    </w:pPr>
    <w:rPr>
      <w:rFonts w:cs="Arial"/>
      <w:color w:val="0070C0"/>
      <w:szCs w:val="22"/>
    </w:rPr>
  </w:style>
  <w:style w:type="paragraph" w:styleId="Heading3">
    <w:name w:val="heading 3"/>
    <w:basedOn w:val="Normal"/>
    <w:next w:val="Normal"/>
    <w:autoRedefine/>
    <w:qFormat/>
    <w:rsid w:val="00CA6006"/>
    <w:pPr>
      <w:keepNext/>
      <w:numPr>
        <w:ilvl w:val="2"/>
        <w:numId w:val="1"/>
      </w:numPr>
      <w:spacing w:before="120" w:after="60"/>
      <w:outlineLvl w:val="2"/>
    </w:pPr>
    <w:rPr>
      <w:szCs w:val="22"/>
    </w:rPr>
  </w:style>
  <w:style w:type="paragraph" w:styleId="Heading4">
    <w:name w:val="heading 4"/>
    <w:basedOn w:val="Normal"/>
    <w:next w:val="Normal"/>
    <w:qFormat/>
    <w:rsid w:val="00CA6006"/>
    <w:pPr>
      <w:keepNext/>
      <w:numPr>
        <w:ilvl w:val="3"/>
        <w:numId w:val="1"/>
      </w:numPr>
      <w:spacing w:before="240" w:after="60"/>
      <w:outlineLvl w:val="3"/>
    </w:pPr>
    <w:rPr>
      <w:b/>
      <w:sz w:val="24"/>
    </w:rPr>
  </w:style>
  <w:style w:type="paragraph" w:styleId="Heading6">
    <w:name w:val="heading 6"/>
    <w:basedOn w:val="Normal"/>
    <w:next w:val="Normal"/>
    <w:qFormat/>
    <w:rsid w:val="00CA6006"/>
    <w:pPr>
      <w:keepNext/>
      <w:numPr>
        <w:ilvl w:val="5"/>
        <w:numId w:val="1"/>
      </w:numPr>
      <w:jc w:val="center"/>
      <w:outlineLvl w:val="5"/>
    </w:pPr>
    <w:rPr>
      <w:sz w:val="44"/>
    </w:rPr>
  </w:style>
  <w:style w:type="paragraph" w:styleId="Heading7">
    <w:name w:val="heading 7"/>
    <w:basedOn w:val="Normal"/>
    <w:next w:val="Normal"/>
    <w:qFormat/>
    <w:rsid w:val="00CA6006"/>
    <w:pPr>
      <w:numPr>
        <w:ilvl w:val="6"/>
        <w:numId w:val="1"/>
      </w:numPr>
      <w:spacing w:before="240" w:after="60"/>
      <w:outlineLvl w:val="6"/>
    </w:pPr>
    <w:rPr>
      <w:sz w:val="24"/>
      <w:szCs w:val="24"/>
    </w:rPr>
  </w:style>
  <w:style w:type="paragraph" w:styleId="Heading8">
    <w:name w:val="heading 8"/>
    <w:basedOn w:val="Normal"/>
    <w:next w:val="Normal"/>
    <w:qFormat/>
    <w:rsid w:val="00CA6006"/>
    <w:pPr>
      <w:numPr>
        <w:ilvl w:val="7"/>
        <w:numId w:val="1"/>
      </w:numPr>
      <w:spacing w:before="240" w:after="60"/>
      <w:outlineLvl w:val="7"/>
    </w:pPr>
    <w:rPr>
      <w:i/>
      <w:iCs/>
      <w:sz w:val="24"/>
      <w:szCs w:val="24"/>
    </w:rPr>
  </w:style>
  <w:style w:type="paragraph" w:styleId="Heading9">
    <w:name w:val="heading 9"/>
    <w:basedOn w:val="Normal"/>
    <w:next w:val="Normal"/>
    <w:qFormat/>
    <w:rsid w:val="00CA600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600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1CB6"/>
    <w:pPr>
      <w:tabs>
        <w:tab w:val="center" w:pos="4153"/>
        <w:tab w:val="right" w:pos="8306"/>
      </w:tabs>
      <w:spacing w:after="0"/>
    </w:pPr>
    <w:rPr>
      <w:sz w:val="24"/>
      <w:szCs w:val="24"/>
    </w:rPr>
  </w:style>
  <w:style w:type="paragraph" w:styleId="Footer">
    <w:name w:val="footer"/>
    <w:basedOn w:val="Normal"/>
    <w:link w:val="FooterChar"/>
    <w:rsid w:val="00EA6A91"/>
    <w:pPr>
      <w:tabs>
        <w:tab w:val="center" w:pos="4513"/>
        <w:tab w:val="right" w:pos="9026"/>
      </w:tabs>
    </w:pPr>
  </w:style>
  <w:style w:type="character" w:customStyle="1" w:styleId="FooterChar">
    <w:name w:val="Footer Char"/>
    <w:link w:val="Footer"/>
    <w:uiPriority w:val="99"/>
    <w:rsid w:val="00EA6A91"/>
    <w:rPr>
      <w:rFonts w:ascii="Arial" w:hAnsi="Arial"/>
      <w:sz w:val="22"/>
      <w:lang w:eastAsia="en-US"/>
    </w:rPr>
  </w:style>
  <w:style w:type="character" w:customStyle="1" w:styleId="HeaderChar">
    <w:name w:val="Header Char"/>
    <w:link w:val="Header"/>
    <w:uiPriority w:val="99"/>
    <w:rsid w:val="00EA6A91"/>
    <w:rPr>
      <w:rFonts w:ascii="Arial" w:hAnsi="Arial"/>
      <w:sz w:val="24"/>
      <w:szCs w:val="24"/>
      <w:lang w:eastAsia="en-US"/>
    </w:rPr>
  </w:style>
  <w:style w:type="paragraph" w:styleId="BalloonText">
    <w:name w:val="Balloon Text"/>
    <w:basedOn w:val="Normal"/>
    <w:link w:val="BalloonTextChar"/>
    <w:rsid w:val="00FB4846"/>
    <w:pPr>
      <w:spacing w:after="0"/>
    </w:pPr>
    <w:rPr>
      <w:rFonts w:ascii="Tahoma" w:hAnsi="Tahoma" w:cs="Tahoma"/>
      <w:sz w:val="16"/>
      <w:szCs w:val="16"/>
    </w:rPr>
  </w:style>
  <w:style w:type="character" w:customStyle="1" w:styleId="BalloonTextChar">
    <w:name w:val="Balloon Text Char"/>
    <w:basedOn w:val="DefaultParagraphFont"/>
    <w:link w:val="BalloonText"/>
    <w:rsid w:val="00FB4846"/>
    <w:rPr>
      <w:rFonts w:ascii="Tahoma" w:hAnsi="Tahoma" w:cs="Tahoma"/>
      <w:sz w:val="16"/>
      <w:szCs w:val="16"/>
      <w:lang w:eastAsia="en-US"/>
    </w:rPr>
  </w:style>
  <w:style w:type="table" w:customStyle="1" w:styleId="TableGrid1">
    <w:name w:val="Table Grid1"/>
    <w:basedOn w:val="TableNormal"/>
    <w:next w:val="TableGrid"/>
    <w:uiPriority w:val="39"/>
    <w:rsid w:val="00F63D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33929"/>
    <w:rPr>
      <w:color w:val="0000FF" w:themeColor="hyperlink"/>
      <w:u w:val="single"/>
    </w:rPr>
  </w:style>
  <w:style w:type="character" w:styleId="UnresolvedMention">
    <w:name w:val="Unresolved Mention"/>
    <w:basedOn w:val="DefaultParagraphFont"/>
    <w:uiPriority w:val="99"/>
    <w:semiHidden/>
    <w:unhideWhenUsed/>
    <w:rsid w:val="00833929"/>
    <w:rPr>
      <w:color w:val="605E5C"/>
      <w:shd w:val="clear" w:color="auto" w:fill="E1DFDD"/>
    </w:rPr>
  </w:style>
  <w:style w:type="paragraph" w:styleId="ListParagraph">
    <w:name w:val="List Paragraph"/>
    <w:basedOn w:val="Normal"/>
    <w:uiPriority w:val="34"/>
    <w:qFormat/>
    <w:rsid w:val="005A1EE2"/>
    <w:pPr>
      <w:spacing w:after="160" w:line="259" w:lineRule="auto"/>
      <w:ind w:left="720"/>
      <w:contextualSpacing/>
    </w:pPr>
    <w:rPr>
      <w:rFonts w:asciiTheme="minorHAnsi" w:eastAsiaTheme="minorHAnsi" w:hAnsiTheme="minorHAnsi" w:cstheme="minorBidi"/>
      <w:szCs w:val="22"/>
    </w:rPr>
  </w:style>
  <w:style w:type="table" w:styleId="GridTable1Light-Accent5">
    <w:name w:val="Grid Table 1 Light Accent 5"/>
    <w:basedOn w:val="TableNormal"/>
    <w:uiPriority w:val="46"/>
    <w:rsid w:val="005A1EE2"/>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na.Emsell@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4908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Directorate of Laboratory Medicine/ Scarborough Transfusion Dept</vt:lpstr>
    </vt:vector>
  </TitlesOfParts>
  <Company>Scarborough NHS Trust</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of Laboratory Medicine/ Scarborough Transfusion Dept</dc:title>
  <dc:creator>jdavy</dc:creator>
  <cp:lastModifiedBy>LOVIE, Richard (YORK AND SCARBOROUGH TEACHING HOSPITALS NHS FOUNDATION TRUST)</cp:lastModifiedBy>
  <cp:revision>2</cp:revision>
  <dcterms:created xsi:type="dcterms:W3CDTF">2023-10-12T07:34:00Z</dcterms:created>
  <dcterms:modified xsi:type="dcterms:W3CDTF">2023-10-12T07:34:00Z</dcterms:modified>
</cp:coreProperties>
</file>