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64B0" w14:textId="77777777" w:rsidR="00AB2F64" w:rsidRDefault="00AB2F64" w:rsidP="00AB2F64">
      <w:pPr>
        <w:pStyle w:val="Heading1"/>
        <w:rPr>
          <w:snapToGrid w:val="0"/>
        </w:rPr>
      </w:pPr>
      <w:r>
        <w:rPr>
          <w:snapToGrid w:val="0"/>
        </w:rPr>
        <w:t>Delays to Anti-nuclear antibody testing – Update 16</w:t>
      </w:r>
      <w:r>
        <w:rPr>
          <w:snapToGrid w:val="0"/>
          <w:vertAlign w:val="superscript"/>
        </w:rPr>
        <w:t>th</w:t>
      </w:r>
      <w:r>
        <w:rPr>
          <w:snapToGrid w:val="0"/>
        </w:rPr>
        <w:t xml:space="preserve"> May 2023</w:t>
      </w:r>
    </w:p>
    <w:p w14:paraId="580B7BA5" w14:textId="77777777" w:rsidR="00AB2F64" w:rsidRDefault="00AB2F64" w:rsidP="00AB2F64">
      <w:pPr>
        <w:pStyle w:val="NormalWeb"/>
        <w:spacing w:before="0" w:beforeAutospacing="0" w:after="0" w:afterAutospacing="0"/>
        <w:rPr>
          <w:rFonts w:ascii="Calibri" w:hAnsi="Calibri" w:cs="Calibri"/>
          <w:snapToGrid w:val="0"/>
          <w:sz w:val="20"/>
          <w:szCs w:val="20"/>
        </w:rPr>
      </w:pPr>
    </w:p>
    <w:p w14:paraId="4B933C43" w14:textId="4173B291" w:rsidR="00AB2F64" w:rsidRDefault="00AB2F64" w:rsidP="00AB2F64">
      <w:pPr>
        <w:spacing w:after="160" w:line="252" w:lineRule="auto"/>
        <w:rPr>
          <w:rFonts w:ascii="Calibri" w:hAnsi="Calibri" w:cs="Calibri"/>
          <w:sz w:val="20"/>
        </w:rPr>
      </w:pPr>
      <w:r>
        <w:t xml:space="preserve">We have been experiencing significant technical and analytical issues with the new multiplex ANA screen since its introduction in </w:t>
      </w:r>
      <w:r>
        <w:t>mid-January</w:t>
      </w:r>
      <w:r>
        <w:t xml:space="preserve"> 2023.</w:t>
      </w:r>
    </w:p>
    <w:p w14:paraId="6A7BAF94" w14:textId="77777777" w:rsidR="00AB2F64" w:rsidRDefault="00AB2F64" w:rsidP="00AB2F64">
      <w:pPr>
        <w:spacing w:after="160" w:line="252" w:lineRule="auto"/>
        <w:rPr>
          <w:szCs w:val="22"/>
        </w:rPr>
      </w:pPr>
      <w:r>
        <w:t xml:space="preserve">We have noted issues with high rates of positivity and with dual positivity between dsDNA and Centromere and/or Scl-70 antibodies.  We therefore took the decision to stop processing and reporting ANA results from the Aptiva ANA screen until we were able to verify a second method for confirming positive results generated on the multiplex ANA method.  </w:t>
      </w:r>
    </w:p>
    <w:p w14:paraId="260BA76B" w14:textId="77777777" w:rsidR="00AB2F64" w:rsidRDefault="00AB2F64" w:rsidP="00AB2F64">
      <w:pPr>
        <w:spacing w:after="160" w:line="252" w:lineRule="auto"/>
      </w:pPr>
      <w:r>
        <w:t xml:space="preserve">Negative ANA screen results will be reported with no further laboratory testing.  There is currently a </w:t>
      </w:r>
      <w:proofErr w:type="gramStart"/>
      <w:r>
        <w:t>3 week</w:t>
      </w:r>
      <w:proofErr w:type="gramEnd"/>
      <w:r>
        <w:t xml:space="preserve"> delay in reporting these result.</w:t>
      </w:r>
    </w:p>
    <w:p w14:paraId="282287DE" w14:textId="371F6626" w:rsidR="00AB2F64" w:rsidRDefault="00AB2F64" w:rsidP="00AB2F64">
      <w:pPr>
        <w:spacing w:after="160" w:line="252" w:lineRule="auto"/>
      </w:pPr>
      <w:r>
        <w:t xml:space="preserve">Positive results will have confirmatory testing on a second analytical platform until issues with the multiplex method are resolved.  Our expected </w:t>
      </w:r>
      <w:r>
        <w:t>timeline</w:t>
      </w:r>
      <w:r>
        <w:t xml:space="preserve"> for reporting positive ANA results is 4-6 weeks.</w:t>
      </w:r>
    </w:p>
    <w:p w14:paraId="4FC31AE0" w14:textId="77777777" w:rsidR="00AB2F64" w:rsidRDefault="00AB2F64" w:rsidP="00AB2F64">
      <w:pPr>
        <w:spacing w:after="160" w:line="252" w:lineRule="auto"/>
      </w:pPr>
      <w:r>
        <w:t>For patients where there is doubt over the diagnosis or where treatment is to be initiated, please send us a repeat sample so that we may confirm the results on a secondary ANA method or arrange referral of the sample to another laboratory if indicated.   Please discuss any urgent requests with the laboratory.</w:t>
      </w:r>
    </w:p>
    <w:p w14:paraId="0AEAEB4E" w14:textId="77777777" w:rsidR="00AB2F64" w:rsidRDefault="00AB2F64" w:rsidP="00AB2F64">
      <w:pPr>
        <w:spacing w:after="160" w:line="252" w:lineRule="auto"/>
      </w:pPr>
      <w:r>
        <w:t>For patients tested between 16</w:t>
      </w:r>
      <w:r>
        <w:rPr>
          <w:vertAlign w:val="superscript"/>
        </w:rPr>
        <w:t>th</w:t>
      </w:r>
      <w:r>
        <w:t xml:space="preserve"> January and 2</w:t>
      </w:r>
      <w:r>
        <w:rPr>
          <w:vertAlign w:val="superscript"/>
        </w:rPr>
        <w:t>nd</w:t>
      </w:r>
      <w:r>
        <w:t xml:space="preserve"> May on the new ANA multiplex screen, consider repeat testing where results are inconsistent with previous results or if there is doubt over diagnosis.   </w:t>
      </w:r>
    </w:p>
    <w:p w14:paraId="7151C056" w14:textId="086A3029" w:rsidR="00AB2F64" w:rsidRDefault="00AB2F64" w:rsidP="00AB2F64">
      <w:pPr>
        <w:spacing w:after="160" w:line="252" w:lineRule="auto"/>
      </w:pPr>
      <w:r>
        <w:t xml:space="preserve">Repeat testing is not indicated where positive ENA results were not confirmed by ANA by indirect immunofluorescence (IIF) and/or ENA </w:t>
      </w:r>
      <w:proofErr w:type="spellStart"/>
      <w:r>
        <w:t>immunblot</w:t>
      </w:r>
      <w:proofErr w:type="spellEnd"/>
      <w:r>
        <w:t xml:space="preserve"> (</w:t>
      </w:r>
      <w:proofErr w:type="spellStart"/>
      <w:proofErr w:type="gramStart"/>
      <w:r>
        <w:t>ie</w:t>
      </w:r>
      <w:proofErr w:type="spellEnd"/>
      <w:proofErr w:type="gramEnd"/>
      <w:r>
        <w:t xml:space="preserve"> Negative ANA IIF and/or negative ENA antibody profile on immunoblot).  Repeat testing is not indicated where dsDNA Ab was positive but </w:t>
      </w:r>
      <w:proofErr w:type="spellStart"/>
      <w:r>
        <w:t>Crithidia</w:t>
      </w:r>
      <w:proofErr w:type="spellEnd"/>
      <w:r>
        <w:t xml:space="preserve"> or ANA by indirect immunofluorescence were negative.  These results suggest the positivity detected on the Aptiva multiplex screen are likely false positive.  However, if there is still a suspicion of connective tissue </w:t>
      </w:r>
      <w:r>
        <w:t>disease,</w:t>
      </w:r>
      <w:r>
        <w:t xml:space="preserve"> please repeat the ANA screen.</w:t>
      </w:r>
    </w:p>
    <w:p w14:paraId="684C9B80" w14:textId="77777777" w:rsidR="00AB2F64" w:rsidRDefault="00AB2F64" w:rsidP="00AB2F64">
      <w:pPr>
        <w:spacing w:after="160" w:line="252" w:lineRule="auto"/>
      </w:pPr>
      <w:r>
        <w:t xml:space="preserve">For reported borderline positive ANA results please see the confirmatory ENA immunoblot /IIF results (higher specificity). Repeat ANA testing is not indicated where positive results are confirmed by ENA immunoblot / IIF methods. </w:t>
      </w:r>
    </w:p>
    <w:p w14:paraId="5DF66BDE" w14:textId="77777777" w:rsidR="00AB2F64" w:rsidRDefault="00AB2F64" w:rsidP="00AB2F64">
      <w:pPr>
        <w:spacing w:after="160" w:line="252" w:lineRule="auto"/>
      </w:pPr>
      <w:r>
        <w:t xml:space="preserve">Our apologies to you and your patients for any delay and worry caused by these issues with the ANA screen.  To discuss please contact either Drs Sujoy Khan or </w:t>
      </w:r>
      <w:proofErr w:type="spellStart"/>
      <w:r>
        <w:t>Pavels</w:t>
      </w:r>
      <w:proofErr w:type="spellEnd"/>
      <w:r>
        <w:t xml:space="preserve"> </w:t>
      </w:r>
      <w:proofErr w:type="spellStart"/>
      <w:r>
        <w:t>Gordins</w:t>
      </w:r>
      <w:proofErr w:type="spellEnd"/>
      <w:r>
        <w:t>, or myself.</w:t>
      </w:r>
    </w:p>
    <w:p w14:paraId="519512D7" w14:textId="77777777" w:rsidR="00AB2F64" w:rsidRDefault="00AB2F64" w:rsidP="00AB2F64">
      <w:pPr>
        <w:spacing w:line="252" w:lineRule="auto"/>
      </w:pPr>
      <w:r>
        <w:t xml:space="preserve">Contact details: </w:t>
      </w:r>
    </w:p>
    <w:p w14:paraId="5F00B139" w14:textId="77777777" w:rsidR="00AB2F64" w:rsidRDefault="00AB2F64" w:rsidP="00AB2F64">
      <w:pPr>
        <w:spacing w:line="252" w:lineRule="auto"/>
      </w:pPr>
      <w:r>
        <w:t>Drs Sujoy Khan (</w:t>
      </w:r>
      <w:hyperlink r:id="rId7" w:history="1">
        <w:r>
          <w:rPr>
            <w:rStyle w:val="Hyperlink"/>
          </w:rPr>
          <w:t>sujoy.khan@nhs.net</w:t>
        </w:r>
      </w:hyperlink>
      <w:r>
        <w:t xml:space="preserve">) and </w:t>
      </w:r>
      <w:proofErr w:type="spellStart"/>
      <w:r>
        <w:t>Pavels</w:t>
      </w:r>
      <w:proofErr w:type="spellEnd"/>
      <w:r>
        <w:t xml:space="preserve"> </w:t>
      </w:r>
      <w:proofErr w:type="spellStart"/>
      <w:r>
        <w:t>Gordins</w:t>
      </w:r>
      <w:proofErr w:type="spellEnd"/>
      <w:r>
        <w:t xml:space="preserve"> (</w:t>
      </w:r>
      <w:hyperlink r:id="rId8" w:history="1">
        <w:r>
          <w:rPr>
            <w:rStyle w:val="Hyperlink"/>
          </w:rPr>
          <w:t>pavels.gordins@nhs.net</w:t>
        </w:r>
      </w:hyperlink>
      <w:r>
        <w:t>)</w:t>
      </w:r>
    </w:p>
    <w:p w14:paraId="389BBFDC" w14:textId="77777777" w:rsidR="00AB2F64" w:rsidRDefault="00AB2F64" w:rsidP="00AB2F64">
      <w:pPr>
        <w:spacing w:line="252" w:lineRule="auto"/>
      </w:pPr>
      <w:r>
        <w:t xml:space="preserve">Dr Anna McHugh 01482 607710 / </w:t>
      </w:r>
      <w:hyperlink r:id="rId9" w:history="1">
        <w:r>
          <w:rPr>
            <w:rStyle w:val="Hyperlink"/>
          </w:rPr>
          <w:t>anna.mchugh@nhs.net</w:t>
        </w:r>
      </w:hyperlink>
    </w:p>
    <w:p w14:paraId="4A1C20D4" w14:textId="77777777" w:rsidR="00AB2F64" w:rsidRDefault="00AB2F64" w:rsidP="00AB2F64">
      <w:pPr>
        <w:spacing w:line="252" w:lineRule="auto"/>
      </w:pPr>
      <w:r>
        <w:t>Immunology Laboratory 01482 607768</w:t>
      </w:r>
    </w:p>
    <w:p w14:paraId="56366060" w14:textId="77777777" w:rsidR="00C832EE" w:rsidRPr="00AB2F64" w:rsidRDefault="00C832EE" w:rsidP="00AB2F64"/>
    <w:sectPr w:rsidR="00C832EE" w:rsidRPr="00AB2F64" w:rsidSect="00AF49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91" w:right="1134" w:bottom="1191" w:left="1134" w:header="39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5BA9" w14:textId="77777777" w:rsidR="00E31267" w:rsidRDefault="00E31267">
      <w:pPr>
        <w:spacing w:after="0"/>
      </w:pPr>
      <w:r>
        <w:separator/>
      </w:r>
    </w:p>
  </w:endnote>
  <w:endnote w:type="continuationSeparator" w:id="0">
    <w:p w14:paraId="19E4D162" w14:textId="77777777" w:rsidR="00E31267" w:rsidRDefault="00E312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0B5A" w14:textId="77777777" w:rsidR="00AB2F64" w:rsidRDefault="00AB2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BC0C" w14:textId="77777777" w:rsidR="00BD16DB" w:rsidRDefault="00AF49C1">
    <w:pPr>
      <w:pStyle w:val="Footer"/>
    </w:pPr>
    <w:r>
      <w:ptab w:relativeTo="margin" w:alignment="center" w:leader="none"/>
    </w:r>
    <w:r w:rsidR="003E397A">
      <w:t>UNAUTHORISED COPY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82C8" w14:textId="77777777" w:rsidR="00AB2F64" w:rsidRDefault="00AB2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6B87" w14:textId="77777777" w:rsidR="00E31267" w:rsidRDefault="00E31267">
      <w:pPr>
        <w:spacing w:after="0"/>
      </w:pPr>
      <w:r>
        <w:separator/>
      </w:r>
    </w:p>
  </w:footnote>
  <w:footnote w:type="continuationSeparator" w:id="0">
    <w:p w14:paraId="01C1975E" w14:textId="77777777" w:rsidR="00E31267" w:rsidRDefault="00E312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4191" w14:textId="77777777" w:rsidR="00AB2F64" w:rsidRDefault="00AB2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4" w:space="0" w:color="auto"/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206"/>
    </w:tblGrid>
    <w:tr w:rsidR="00C32524" w14:paraId="5704923C" w14:textId="77777777" w:rsidTr="00496B22">
      <w:trPr>
        <w:trHeight w:val="422"/>
        <w:tblHeader/>
      </w:trPr>
      <w:tc>
        <w:tcPr>
          <w:tcW w:w="10206" w:type="dxa"/>
          <w:shd w:val="pct5" w:color="auto" w:fill="FFFFFF"/>
        </w:tcPr>
        <w:p w14:paraId="0C68FBA6" w14:textId="77777777" w:rsidR="00AB2F64" w:rsidRDefault="00C32524" w:rsidP="009176EA">
          <w:pPr>
            <w:pStyle w:val="Header"/>
            <w:tabs>
              <w:tab w:val="clear" w:pos="8306"/>
              <w:tab w:val="right" w:pos="9531"/>
            </w:tabs>
            <w:spacing w:before="10" w:after="40"/>
            <w:rPr>
              <w:rFonts w:cs="Arial"/>
              <w:bCs/>
              <w:color w:val="000000"/>
              <w:sz w:val="18"/>
              <w:szCs w:val="18"/>
            </w:rPr>
          </w:pPr>
          <w:r>
            <w:rPr>
              <w:rFonts w:cs="Arial"/>
              <w:bCs/>
              <w:noProof/>
              <w:color w:val="000000"/>
              <w:sz w:val="18"/>
              <w:szCs w:val="18"/>
              <w:lang w:eastAsia="en-GB"/>
            </w:rPr>
            <w:drawing>
              <wp:anchor distT="0" distB="0" distL="114300" distR="114300" simplePos="0" relativeHeight="251661824" behindDoc="0" locked="0" layoutInCell="1" allowOverlap="1" wp14:anchorId="2697FD74" wp14:editId="2FE30BD8">
                <wp:simplePos x="0" y="0"/>
                <wp:positionH relativeFrom="column">
                  <wp:posOffset>3070190</wp:posOffset>
                </wp:positionH>
                <wp:positionV relativeFrom="paragraph">
                  <wp:posOffset>69359</wp:posOffset>
                </wp:positionV>
                <wp:extent cx="3242818" cy="543464"/>
                <wp:effectExtent l="0" t="0" r="0" b="9525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9841" cy="5479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bCs/>
              <w:color w:val="000000"/>
              <w:sz w:val="18"/>
              <w:szCs w:val="18"/>
            </w:rPr>
            <w:t xml:space="preserve">Service:   </w:t>
          </w:r>
          <w:r w:rsidR="00AB2F64">
            <w:rPr>
              <w:rFonts w:cs="Arial"/>
              <w:bCs/>
              <w:color w:val="000000"/>
              <w:sz w:val="18"/>
              <w:szCs w:val="18"/>
            </w:rPr>
            <w:t>SHYPS</w:t>
          </w:r>
        </w:p>
        <w:p w14:paraId="3586EAFF" w14:textId="115F0632" w:rsidR="00C32524" w:rsidRPr="00035BE2" w:rsidRDefault="00C32524" w:rsidP="009176EA">
          <w:pPr>
            <w:pStyle w:val="Header"/>
            <w:tabs>
              <w:tab w:val="clear" w:pos="8306"/>
              <w:tab w:val="right" w:pos="9531"/>
            </w:tabs>
            <w:spacing w:before="10" w:after="40"/>
            <w:rPr>
              <w:rFonts w:cs="Arial"/>
              <w:bCs/>
              <w:color w:val="000000"/>
              <w:sz w:val="18"/>
              <w:szCs w:val="18"/>
            </w:rPr>
          </w:pPr>
          <w:r w:rsidRPr="00035BE2">
            <w:rPr>
              <w:rFonts w:cs="Arial"/>
              <w:bCs/>
              <w:sz w:val="18"/>
              <w:szCs w:val="18"/>
            </w:rPr>
            <w:t>Filename:</w:t>
          </w:r>
          <w:r>
            <w:rPr>
              <w:sz w:val="18"/>
              <w:szCs w:val="18"/>
            </w:rPr>
            <w:t xml:space="preserve"> </w:t>
          </w:r>
          <w:r w:rsidR="00AB2F64">
            <w:rPr>
              <w:sz w:val="18"/>
              <w:szCs w:val="18"/>
            </w:rPr>
            <w:t>LM-INF-IMMUNO WEB</w:t>
          </w:r>
        </w:p>
        <w:p w14:paraId="13F209F0" w14:textId="7BE7C27A" w:rsidR="00C32524" w:rsidRDefault="00C32524" w:rsidP="009176EA">
          <w:pPr>
            <w:pStyle w:val="Header"/>
            <w:tabs>
              <w:tab w:val="clear" w:pos="4153"/>
              <w:tab w:val="center" w:pos="9459"/>
            </w:tabs>
            <w:spacing w:before="10" w:after="40"/>
            <w:rPr>
              <w:rFonts w:cs="Arial"/>
              <w:bCs/>
              <w:sz w:val="18"/>
              <w:szCs w:val="18"/>
            </w:rPr>
          </w:pPr>
          <w:r w:rsidRPr="00035BE2">
            <w:rPr>
              <w:rFonts w:cs="Arial"/>
              <w:bCs/>
              <w:sz w:val="18"/>
              <w:szCs w:val="18"/>
            </w:rPr>
            <w:t>Version:</w:t>
          </w:r>
          <w:r>
            <w:rPr>
              <w:rFonts w:cs="Arial"/>
              <w:bCs/>
              <w:sz w:val="18"/>
              <w:szCs w:val="18"/>
            </w:rPr>
            <w:t xml:space="preserve"> </w:t>
          </w:r>
          <w:r w:rsidR="00AB2F64">
            <w:rPr>
              <w:rFonts w:cs="Arial"/>
              <w:bCs/>
              <w:sz w:val="18"/>
              <w:szCs w:val="18"/>
            </w:rPr>
            <w:t>01</w:t>
          </w:r>
          <w:r w:rsidRPr="00C832EE">
            <w:rPr>
              <w:i/>
              <w:color w:val="4F81BD" w:themeColor="accent1"/>
              <w:sz w:val="18"/>
              <w:szCs w:val="18"/>
            </w:rPr>
            <w:t xml:space="preserve">                                                                                                 </w:t>
          </w:r>
          <w:r w:rsidRPr="00C832EE">
            <w:rPr>
              <w:rFonts w:cs="Arial"/>
              <w:bCs/>
              <w:i/>
              <w:color w:val="4F81BD" w:themeColor="accent1"/>
              <w:sz w:val="18"/>
              <w:szCs w:val="18"/>
            </w:rPr>
            <w:t xml:space="preserve">                                              </w:t>
          </w:r>
        </w:p>
        <w:p w14:paraId="4773F2BC" w14:textId="12FAFA7E" w:rsidR="00C32524" w:rsidRPr="00035BE2" w:rsidRDefault="00C32524" w:rsidP="009176EA">
          <w:pPr>
            <w:pStyle w:val="Header"/>
            <w:tabs>
              <w:tab w:val="clear" w:pos="4153"/>
              <w:tab w:val="center" w:pos="9459"/>
            </w:tabs>
            <w:spacing w:before="10" w:after="40"/>
            <w:rPr>
              <w:rFonts w:cs="Arial"/>
              <w:bCs/>
              <w:color w:val="000000"/>
              <w:sz w:val="18"/>
              <w:szCs w:val="18"/>
            </w:rPr>
          </w:pPr>
          <w:r w:rsidRPr="0075089A">
            <w:rPr>
              <w:rFonts w:cs="Arial"/>
              <w:bCs/>
              <w:sz w:val="18"/>
              <w:szCs w:val="18"/>
            </w:rPr>
            <w:t>Date of Issue:</w:t>
          </w:r>
          <w:r w:rsidR="00AB2F64">
            <w:rPr>
              <w:rFonts w:cs="Arial"/>
              <w:bCs/>
              <w:sz w:val="18"/>
              <w:szCs w:val="18"/>
            </w:rPr>
            <w:t xml:space="preserve"> May 23</w:t>
          </w:r>
          <w:r w:rsidRPr="00C832EE">
            <w:rPr>
              <w:i/>
              <w:color w:val="4F81BD" w:themeColor="accent1"/>
              <w:sz w:val="18"/>
              <w:szCs w:val="18"/>
            </w:rPr>
            <w:t xml:space="preserve">                                                                                                     </w:t>
          </w:r>
          <w:r w:rsidRPr="00C832EE">
            <w:rPr>
              <w:rFonts w:cs="Arial"/>
              <w:bCs/>
              <w:i/>
              <w:color w:val="4F81BD" w:themeColor="accent1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</w:t>
          </w:r>
        </w:p>
        <w:p w14:paraId="4633F921" w14:textId="6CC27D7C" w:rsidR="00C32524" w:rsidRPr="000200D5" w:rsidRDefault="00BD16DB" w:rsidP="009176EA">
          <w:pPr>
            <w:pStyle w:val="Header"/>
            <w:spacing w:before="10" w:after="40"/>
            <w:rPr>
              <w:rFonts w:cs="Arial"/>
              <w:bCs/>
              <w:i/>
              <w:color w:val="4F81BD" w:themeColor="accent1"/>
              <w:sz w:val="18"/>
              <w:szCs w:val="18"/>
            </w:rPr>
          </w:pPr>
          <w:r>
            <w:rPr>
              <w:rFonts w:cs="Arial"/>
              <w:bCs/>
              <w:sz w:val="18"/>
              <w:szCs w:val="18"/>
            </w:rPr>
            <w:t>Owner</w:t>
          </w:r>
          <w:r w:rsidR="00736721">
            <w:rPr>
              <w:rFonts w:cs="Arial"/>
              <w:bCs/>
              <w:sz w:val="18"/>
              <w:szCs w:val="18"/>
            </w:rPr>
            <w:t>:</w:t>
          </w:r>
          <w:r w:rsidR="000200D5">
            <w:rPr>
              <w:rFonts w:cs="Arial"/>
              <w:bCs/>
              <w:sz w:val="18"/>
              <w:szCs w:val="18"/>
            </w:rPr>
            <w:t xml:space="preserve"> </w:t>
          </w:r>
          <w:r w:rsidR="00AB2F64">
            <w:rPr>
              <w:rFonts w:cs="Arial"/>
              <w:bCs/>
              <w:sz w:val="18"/>
              <w:szCs w:val="18"/>
            </w:rPr>
            <w:t>R. Lovie</w:t>
          </w:r>
          <w:r w:rsidR="00C32524" w:rsidRPr="000200D5">
            <w:rPr>
              <w:i/>
              <w:color w:val="4F81BD" w:themeColor="accent1"/>
              <w:sz w:val="18"/>
              <w:szCs w:val="18"/>
            </w:rPr>
            <w:t xml:space="preserve">                                                                                                   </w:t>
          </w:r>
          <w:r w:rsidR="00C32524" w:rsidRPr="000200D5">
            <w:rPr>
              <w:rFonts w:cs="Arial"/>
              <w:bCs/>
              <w:i/>
              <w:color w:val="4F81BD" w:themeColor="accent1"/>
              <w:sz w:val="18"/>
              <w:szCs w:val="18"/>
            </w:rPr>
            <w:t xml:space="preserve">                                              </w:t>
          </w:r>
        </w:p>
        <w:p w14:paraId="52E930DE" w14:textId="77777777" w:rsidR="00C32524" w:rsidRPr="005B12C0" w:rsidRDefault="00C32524" w:rsidP="009176EA">
          <w:pPr>
            <w:pStyle w:val="Header"/>
            <w:spacing w:before="10" w:after="40"/>
            <w:rPr>
              <w:rFonts w:cs="Arial"/>
              <w:bCs/>
              <w:sz w:val="18"/>
              <w:szCs w:val="18"/>
            </w:rPr>
          </w:pPr>
          <w:r w:rsidRPr="00035BE2">
            <w:rPr>
              <w:rFonts w:cs="Arial"/>
              <w:bCs/>
              <w:snapToGrid w:val="0"/>
              <w:sz w:val="18"/>
              <w:szCs w:val="18"/>
            </w:rPr>
            <w:t xml:space="preserve">Page </w:t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fldChar w:fldCharType="begin"/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instrText xml:space="preserve"> PAGE  \* MERGEFORMAT </w:instrText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fldChar w:fldCharType="separate"/>
          </w:r>
          <w:r w:rsidR="003E397A" w:rsidRPr="003E397A">
            <w:rPr>
              <w:bCs/>
              <w:noProof/>
              <w:snapToGrid w:val="0"/>
              <w:sz w:val="18"/>
              <w:szCs w:val="18"/>
            </w:rPr>
            <w:t>1</w:t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fldChar w:fldCharType="end"/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t xml:space="preserve"> of </w:t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fldChar w:fldCharType="begin"/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instrText xml:space="preserve"> NUMPAGES  \* MERGEFORMAT </w:instrText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fldChar w:fldCharType="separate"/>
          </w:r>
          <w:r w:rsidR="003E397A" w:rsidRPr="003E397A">
            <w:rPr>
              <w:bCs/>
              <w:noProof/>
              <w:snapToGrid w:val="0"/>
              <w:sz w:val="18"/>
              <w:szCs w:val="18"/>
            </w:rPr>
            <w:t>1</w:t>
          </w:r>
          <w:r w:rsidRPr="00035BE2">
            <w:rPr>
              <w:rFonts w:cs="Arial"/>
              <w:bCs/>
              <w:snapToGrid w:val="0"/>
              <w:sz w:val="18"/>
              <w:szCs w:val="18"/>
            </w:rPr>
            <w:fldChar w:fldCharType="end"/>
          </w:r>
        </w:p>
      </w:tc>
    </w:tr>
  </w:tbl>
  <w:p w14:paraId="656ADC9D" w14:textId="77777777" w:rsidR="00C32524" w:rsidRDefault="00C32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5998" w14:textId="77777777" w:rsidR="00AB2F64" w:rsidRDefault="00AB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57D7"/>
    <w:multiLevelType w:val="multilevel"/>
    <w:tmpl w:val="91E43F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301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06"/>
    <w:rsid w:val="000200D5"/>
    <w:rsid w:val="00103BB5"/>
    <w:rsid w:val="00136575"/>
    <w:rsid w:val="00162687"/>
    <w:rsid w:val="00174B2C"/>
    <w:rsid w:val="0028765F"/>
    <w:rsid w:val="002E5CD4"/>
    <w:rsid w:val="00302DE8"/>
    <w:rsid w:val="003E397A"/>
    <w:rsid w:val="003F220C"/>
    <w:rsid w:val="00416FC1"/>
    <w:rsid w:val="0045480B"/>
    <w:rsid w:val="00465001"/>
    <w:rsid w:val="00564659"/>
    <w:rsid w:val="005A574C"/>
    <w:rsid w:val="00642B14"/>
    <w:rsid w:val="0068774E"/>
    <w:rsid w:val="00736721"/>
    <w:rsid w:val="00766CB3"/>
    <w:rsid w:val="00851C05"/>
    <w:rsid w:val="00864EB7"/>
    <w:rsid w:val="00882288"/>
    <w:rsid w:val="00895E10"/>
    <w:rsid w:val="008E3BF1"/>
    <w:rsid w:val="009176EA"/>
    <w:rsid w:val="00945DC7"/>
    <w:rsid w:val="00A470DF"/>
    <w:rsid w:val="00AB2F64"/>
    <w:rsid w:val="00AF49C1"/>
    <w:rsid w:val="00B255B9"/>
    <w:rsid w:val="00B70CD0"/>
    <w:rsid w:val="00B97313"/>
    <w:rsid w:val="00BD16DB"/>
    <w:rsid w:val="00C13174"/>
    <w:rsid w:val="00C32524"/>
    <w:rsid w:val="00C832EE"/>
    <w:rsid w:val="00C872D8"/>
    <w:rsid w:val="00CA5304"/>
    <w:rsid w:val="00CA6006"/>
    <w:rsid w:val="00CD338C"/>
    <w:rsid w:val="00CF3567"/>
    <w:rsid w:val="00D652AA"/>
    <w:rsid w:val="00DA4A21"/>
    <w:rsid w:val="00E04F10"/>
    <w:rsid w:val="00E31267"/>
    <w:rsid w:val="00E42452"/>
    <w:rsid w:val="00E46670"/>
    <w:rsid w:val="00EA6A91"/>
    <w:rsid w:val="00EB1CB6"/>
    <w:rsid w:val="00EF5D89"/>
    <w:rsid w:val="00F44BFD"/>
    <w:rsid w:val="00F51DAD"/>
    <w:rsid w:val="00FB4846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3C15100"/>
  <w15:docId w15:val="{4345DE9F-FEFE-4DDB-85E5-F00E040C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006"/>
    <w:pPr>
      <w:spacing w:after="12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AB2F64"/>
    <w:pPr>
      <w:keepNext/>
      <w:spacing w:before="240"/>
      <w:ind w:left="567" w:hanging="567"/>
      <w:jc w:val="center"/>
      <w:outlineLvl w:val="0"/>
    </w:pPr>
    <w:rPr>
      <w:rFonts w:cs="Arial"/>
      <w:b/>
      <w:sz w:val="24"/>
      <w:lang w:val="en-US"/>
    </w:rPr>
  </w:style>
  <w:style w:type="paragraph" w:styleId="Heading2">
    <w:name w:val="heading 2"/>
    <w:basedOn w:val="Normal"/>
    <w:next w:val="Normal"/>
    <w:autoRedefine/>
    <w:qFormat/>
    <w:rsid w:val="00CA6006"/>
    <w:pPr>
      <w:keepNext/>
      <w:numPr>
        <w:ilvl w:val="1"/>
        <w:numId w:val="1"/>
      </w:numPr>
      <w:spacing w:before="120" w:after="60"/>
      <w:ind w:left="578" w:hanging="578"/>
      <w:outlineLvl w:val="1"/>
    </w:pPr>
    <w:rPr>
      <w:rFonts w:cs="Arial"/>
      <w:szCs w:val="22"/>
    </w:rPr>
  </w:style>
  <w:style w:type="paragraph" w:styleId="Heading3">
    <w:name w:val="heading 3"/>
    <w:basedOn w:val="Normal"/>
    <w:next w:val="Normal"/>
    <w:autoRedefine/>
    <w:qFormat/>
    <w:rsid w:val="00CA6006"/>
    <w:pPr>
      <w:keepNext/>
      <w:numPr>
        <w:ilvl w:val="2"/>
        <w:numId w:val="1"/>
      </w:numPr>
      <w:spacing w:before="120" w:after="60"/>
      <w:outlineLvl w:val="2"/>
    </w:pPr>
    <w:rPr>
      <w:szCs w:val="22"/>
    </w:rPr>
  </w:style>
  <w:style w:type="paragraph" w:styleId="Heading4">
    <w:name w:val="heading 4"/>
    <w:basedOn w:val="Normal"/>
    <w:next w:val="Normal"/>
    <w:qFormat/>
    <w:rsid w:val="00CA600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6">
    <w:name w:val="heading 6"/>
    <w:basedOn w:val="Normal"/>
    <w:next w:val="Normal"/>
    <w:qFormat/>
    <w:rsid w:val="00CA6006"/>
    <w:pPr>
      <w:keepNext/>
      <w:numPr>
        <w:ilvl w:val="5"/>
        <w:numId w:val="1"/>
      </w:numPr>
      <w:jc w:val="center"/>
      <w:outlineLvl w:val="5"/>
    </w:pPr>
    <w:rPr>
      <w:sz w:val="44"/>
    </w:rPr>
  </w:style>
  <w:style w:type="paragraph" w:styleId="Heading7">
    <w:name w:val="heading 7"/>
    <w:basedOn w:val="Normal"/>
    <w:next w:val="Normal"/>
    <w:qFormat/>
    <w:rsid w:val="00CA600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A600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A6006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600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1CB6"/>
    <w:pPr>
      <w:tabs>
        <w:tab w:val="center" w:pos="4153"/>
        <w:tab w:val="right" w:pos="8306"/>
      </w:tabs>
      <w:spacing w:after="0"/>
    </w:pPr>
    <w:rPr>
      <w:sz w:val="24"/>
      <w:szCs w:val="24"/>
    </w:rPr>
  </w:style>
  <w:style w:type="paragraph" w:styleId="Footer">
    <w:name w:val="footer"/>
    <w:basedOn w:val="Normal"/>
    <w:link w:val="FooterChar"/>
    <w:rsid w:val="00EA6A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6A91"/>
    <w:rPr>
      <w:rFonts w:ascii="Arial" w:hAnsi="Arial"/>
      <w:sz w:val="22"/>
      <w:lang w:eastAsia="en-US"/>
    </w:rPr>
  </w:style>
  <w:style w:type="character" w:customStyle="1" w:styleId="HeaderChar">
    <w:name w:val="Header Char"/>
    <w:link w:val="Header"/>
    <w:uiPriority w:val="99"/>
    <w:rsid w:val="00EA6A91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B48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484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B2F6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B2F6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s.gordins@nhs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ujoy.khan@nhs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mchugh@nhs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Directorate of Laboratory Medicine/ Scarborough Transfusion Dept</vt:lpstr>
    </vt:vector>
  </TitlesOfParts>
  <Company>Scarborough NHS Trust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Laboratory Medicine/ Scarborough Transfusion Dept</dc:title>
  <dc:creator>jdavy</dc:creator>
  <cp:lastModifiedBy>LOVIE, Richard (YORK AND SCARBOROUGH TEACHING HOSPITALS NHS FOUNDATION TRUST)</cp:lastModifiedBy>
  <cp:revision>2</cp:revision>
  <dcterms:created xsi:type="dcterms:W3CDTF">2023-05-17T09:54:00Z</dcterms:created>
  <dcterms:modified xsi:type="dcterms:W3CDTF">2023-05-17T09:54:00Z</dcterms:modified>
</cp:coreProperties>
</file>