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0325" w14:textId="77777777" w:rsidR="00720AEC" w:rsidRPr="00720AEC" w:rsidRDefault="00720AEC" w:rsidP="00720AEC">
      <w:pPr>
        <w:spacing w:after="160" w:line="259" w:lineRule="auto"/>
        <w:rPr>
          <w:rFonts w:ascii="Calibri" w:eastAsia="Calibri" w:hAnsi="Calibri"/>
          <w:b/>
          <w:szCs w:val="22"/>
        </w:rPr>
      </w:pPr>
      <w:r w:rsidRPr="00720AEC">
        <w:rPr>
          <w:rFonts w:ascii="Calibri" w:eastAsia="Calibri" w:hAnsi="Calibri"/>
          <w:b/>
          <w:szCs w:val="22"/>
        </w:rPr>
        <w:t>Issues the Coeliac Disease Antibody Screening Test:  February 2024</w:t>
      </w:r>
    </w:p>
    <w:p w14:paraId="4DD57CCE" w14:textId="644C3B2B" w:rsidR="00720AEC" w:rsidRPr="00720AEC" w:rsidRDefault="00720AEC" w:rsidP="00720AEC">
      <w:pPr>
        <w:spacing w:after="160" w:line="259" w:lineRule="auto"/>
        <w:ind w:firstLine="720"/>
        <w:rPr>
          <w:rFonts w:ascii="Calibri" w:eastAsia="Calibri" w:hAnsi="Calibri"/>
          <w:szCs w:val="22"/>
        </w:rPr>
      </w:pPr>
      <w:r w:rsidRPr="00720AEC">
        <w:rPr>
          <w:rFonts w:ascii="Calibri" w:eastAsia="Calibri" w:hAnsi="Calibri"/>
          <w:szCs w:val="22"/>
        </w:rPr>
        <w:t xml:space="preserve">1. Coeliac Disease Antibody Screening </w:t>
      </w:r>
      <w:r>
        <w:rPr>
          <w:rFonts w:ascii="Calibri" w:eastAsia="Calibri" w:hAnsi="Calibri"/>
          <w:szCs w:val="22"/>
        </w:rPr>
        <w:t>T</w:t>
      </w:r>
      <w:r w:rsidRPr="00720AEC">
        <w:rPr>
          <w:rFonts w:ascii="Calibri" w:eastAsia="Calibri" w:hAnsi="Calibri"/>
          <w:szCs w:val="22"/>
        </w:rPr>
        <w:t>est: Low IgA Concentration</w:t>
      </w:r>
    </w:p>
    <w:p w14:paraId="1221C6ED" w14:textId="6EF26BA5" w:rsidR="00720AEC" w:rsidRPr="00720AEC" w:rsidRDefault="00720AEC" w:rsidP="00720AEC">
      <w:pPr>
        <w:spacing w:after="160" w:line="259" w:lineRule="auto"/>
        <w:ind w:firstLine="720"/>
        <w:rPr>
          <w:rFonts w:ascii="Calibri" w:eastAsia="Calibri" w:hAnsi="Calibri"/>
          <w:szCs w:val="22"/>
        </w:rPr>
      </w:pPr>
      <w:r w:rsidRPr="00720AEC">
        <w:rPr>
          <w:rFonts w:ascii="Calibri" w:eastAsia="Calibri" w:hAnsi="Calibri"/>
          <w:szCs w:val="22"/>
        </w:rPr>
        <w:t xml:space="preserve">2. Coeliac Screen (anti-IgA </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w:t>
      </w:r>
      <w:r>
        <w:rPr>
          <w:rFonts w:ascii="Calibri" w:eastAsia="Calibri" w:hAnsi="Calibri"/>
          <w:szCs w:val="22"/>
        </w:rPr>
        <w:t xml:space="preserve">: </w:t>
      </w:r>
      <w:r w:rsidRPr="00720AEC">
        <w:rPr>
          <w:rFonts w:ascii="Calibri" w:eastAsia="Calibri" w:hAnsi="Calibri"/>
          <w:szCs w:val="22"/>
        </w:rPr>
        <w:t>Patient less than 3 year</w:t>
      </w:r>
      <w:r>
        <w:rPr>
          <w:rFonts w:ascii="Calibri" w:eastAsia="Calibri" w:hAnsi="Calibri"/>
          <w:szCs w:val="22"/>
        </w:rPr>
        <w:t>s</w:t>
      </w:r>
      <w:r w:rsidRPr="00720AEC">
        <w:rPr>
          <w:rFonts w:ascii="Calibri" w:eastAsia="Calibri" w:hAnsi="Calibri"/>
          <w:szCs w:val="22"/>
        </w:rPr>
        <w:t xml:space="preserve"> of age</w:t>
      </w:r>
    </w:p>
    <w:p w14:paraId="34D92EA4" w14:textId="77777777" w:rsidR="00720AEC" w:rsidRPr="00720AEC" w:rsidRDefault="00720AEC" w:rsidP="00720AEC">
      <w:pPr>
        <w:spacing w:after="160" w:line="259" w:lineRule="auto"/>
        <w:rPr>
          <w:rFonts w:ascii="Calibri" w:eastAsia="Calibri" w:hAnsi="Calibri"/>
          <w:szCs w:val="22"/>
        </w:rPr>
      </w:pPr>
    </w:p>
    <w:p w14:paraId="0ADF1A6E" w14:textId="77777777" w:rsidR="00720AEC" w:rsidRPr="00720AEC" w:rsidRDefault="00720AEC" w:rsidP="00720AEC">
      <w:pPr>
        <w:spacing w:after="160" w:line="259" w:lineRule="auto"/>
        <w:rPr>
          <w:rFonts w:ascii="Calibri" w:eastAsia="Calibri" w:hAnsi="Calibri"/>
          <w:szCs w:val="22"/>
          <w:u w:val="single"/>
        </w:rPr>
      </w:pPr>
      <w:r w:rsidRPr="00720AEC">
        <w:rPr>
          <w:rFonts w:ascii="Calibri" w:eastAsia="Calibri" w:hAnsi="Calibri"/>
          <w:szCs w:val="22"/>
          <w:u w:val="single"/>
        </w:rPr>
        <w:t>1. Coeliac Disease Antibody Screening test: Low IgA Concentration</w:t>
      </w:r>
    </w:p>
    <w:p w14:paraId="2C05A110"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An issue has been identified with our coeliac disease screening test, IgA-Anti-tissue transglutaminase (</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w:t>
      </w:r>
    </w:p>
    <w:p w14:paraId="6F00B801" w14:textId="7B4D970B"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The method for detecting IgA-anti-</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has an in-built control to flag samples with low concentrations of IgA as an assay verification step.  We have identified this control flag is only highlighting samples that are deficient in IgA (&lt;0.02 g/L) but not those with a </w:t>
      </w:r>
      <w:r w:rsidRPr="00720AEC">
        <w:rPr>
          <w:rFonts w:ascii="Calibri" w:eastAsia="Calibri" w:hAnsi="Calibri"/>
          <w:szCs w:val="22"/>
        </w:rPr>
        <w:t>measurable</w:t>
      </w:r>
      <w:r w:rsidRPr="00720AEC">
        <w:rPr>
          <w:rFonts w:ascii="Calibri" w:eastAsia="Calibri" w:hAnsi="Calibri"/>
          <w:szCs w:val="22"/>
        </w:rPr>
        <w:t xml:space="preserve"> but low concentration of IgA (0.2 g/L of IgA or less).</w:t>
      </w:r>
    </w:p>
    <w:p w14:paraId="099FEC5D"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In patients found to have low IgA or are IgA deficient, a second line IgG-anti-</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test is usually performed, as a deficient or low IgA concentration invalidates the IgA method.</w:t>
      </w:r>
    </w:p>
    <w:p w14:paraId="573B51C6" w14:textId="77777777" w:rsidR="00720AEC" w:rsidRPr="00720AEC" w:rsidRDefault="00720AEC" w:rsidP="00720AEC">
      <w:pPr>
        <w:spacing w:after="160" w:line="259" w:lineRule="auto"/>
        <w:rPr>
          <w:rFonts w:ascii="Calibri" w:eastAsia="Calibri" w:hAnsi="Calibri"/>
          <w:b/>
          <w:bCs/>
          <w:color w:val="FF0000"/>
          <w:szCs w:val="22"/>
        </w:rPr>
      </w:pPr>
      <w:r w:rsidRPr="00720AEC">
        <w:rPr>
          <w:rFonts w:ascii="Calibri" w:eastAsia="Calibri" w:hAnsi="Calibri"/>
          <w:b/>
          <w:bCs/>
          <w:color w:val="FF0000"/>
          <w:szCs w:val="22"/>
        </w:rPr>
        <w:t xml:space="preserve">There is therefore a risk that false negative anti-IgA </w:t>
      </w:r>
      <w:proofErr w:type="spellStart"/>
      <w:r w:rsidRPr="00720AEC">
        <w:rPr>
          <w:rFonts w:ascii="Calibri" w:eastAsia="Calibri" w:hAnsi="Calibri"/>
          <w:b/>
          <w:bCs/>
          <w:color w:val="FF0000"/>
          <w:szCs w:val="22"/>
        </w:rPr>
        <w:t>tTG</w:t>
      </w:r>
      <w:proofErr w:type="spellEnd"/>
      <w:r w:rsidRPr="00720AEC">
        <w:rPr>
          <w:rFonts w:ascii="Calibri" w:eastAsia="Calibri" w:hAnsi="Calibri"/>
          <w:b/>
          <w:bCs/>
          <w:color w:val="FF0000"/>
          <w:szCs w:val="22"/>
        </w:rPr>
        <w:t xml:space="preserve"> results may have been reported in patients for whom the second line IgG anti-</w:t>
      </w:r>
      <w:proofErr w:type="spellStart"/>
      <w:r w:rsidRPr="00720AEC">
        <w:rPr>
          <w:rFonts w:ascii="Calibri" w:eastAsia="Calibri" w:hAnsi="Calibri"/>
          <w:b/>
          <w:bCs/>
          <w:color w:val="FF0000"/>
          <w:szCs w:val="22"/>
        </w:rPr>
        <w:t>tTG</w:t>
      </w:r>
      <w:proofErr w:type="spellEnd"/>
      <w:r w:rsidRPr="00720AEC">
        <w:rPr>
          <w:rFonts w:ascii="Calibri" w:eastAsia="Calibri" w:hAnsi="Calibri"/>
          <w:b/>
          <w:bCs/>
          <w:color w:val="FF0000"/>
          <w:szCs w:val="22"/>
        </w:rPr>
        <w:t xml:space="preserve"> antibody test was not performed.</w:t>
      </w:r>
    </w:p>
    <w:p w14:paraId="19BCF64B" w14:textId="4F867866"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 xml:space="preserve">The current coeliac screen was introduced in January 2023.  If you have a patient with a high degree of clinical suspicion for coeliac with a negative IgA TTG result and no IgG TTG or IgG EMA </w:t>
      </w:r>
      <w:r w:rsidRPr="00720AEC">
        <w:rPr>
          <w:rFonts w:ascii="Calibri" w:eastAsia="Calibri" w:hAnsi="Calibri"/>
          <w:szCs w:val="22"/>
        </w:rPr>
        <w:t>result,</w:t>
      </w:r>
      <w:r w:rsidRPr="00720AEC">
        <w:rPr>
          <w:rFonts w:ascii="Calibri" w:eastAsia="Calibri" w:hAnsi="Calibri"/>
          <w:szCs w:val="22"/>
        </w:rPr>
        <w:t xml:space="preserve"> then please consider repeat testing (and also check immunoglobulins).  </w:t>
      </w:r>
    </w:p>
    <w:p w14:paraId="01415B2A"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Going forward, we are confident that the IgA anti-</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test will detect IgA deficient patients.  For all children under 4 years of age, the second line IgG anti-</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test will be requested, IgA will be measured on all paediatric patients (&lt;17 years), and any patient found to have an IgA concentration &lt;0.2g/L will have IgG TTG antibody measured.</w:t>
      </w:r>
    </w:p>
    <w:p w14:paraId="43530B69" w14:textId="77777777" w:rsidR="00720AEC" w:rsidRPr="00720AEC" w:rsidRDefault="00720AEC" w:rsidP="00720AEC">
      <w:pPr>
        <w:spacing w:after="160" w:line="259" w:lineRule="auto"/>
        <w:rPr>
          <w:rFonts w:ascii="Calibri" w:eastAsia="Calibri" w:hAnsi="Calibri"/>
          <w:szCs w:val="22"/>
        </w:rPr>
      </w:pPr>
    </w:p>
    <w:p w14:paraId="63E99AFA" w14:textId="32A8E192" w:rsidR="00720AEC" w:rsidRPr="00720AEC" w:rsidRDefault="00720AEC" w:rsidP="00720AEC">
      <w:pPr>
        <w:spacing w:after="160" w:line="259" w:lineRule="auto"/>
        <w:rPr>
          <w:rFonts w:ascii="Calibri" w:eastAsia="Calibri" w:hAnsi="Calibri"/>
          <w:szCs w:val="22"/>
          <w:u w:val="single"/>
        </w:rPr>
      </w:pPr>
      <w:r w:rsidRPr="00720AEC">
        <w:rPr>
          <w:rFonts w:ascii="Calibri" w:eastAsia="Calibri" w:hAnsi="Calibri"/>
          <w:szCs w:val="22"/>
          <w:u w:val="single"/>
        </w:rPr>
        <w:t xml:space="preserve">2.  Coeliac Screen (anti-IgA </w:t>
      </w:r>
      <w:proofErr w:type="spellStart"/>
      <w:r w:rsidRPr="00720AEC">
        <w:rPr>
          <w:rFonts w:ascii="Calibri" w:eastAsia="Calibri" w:hAnsi="Calibri"/>
          <w:szCs w:val="22"/>
          <w:u w:val="single"/>
        </w:rPr>
        <w:t>tTG</w:t>
      </w:r>
      <w:proofErr w:type="spellEnd"/>
      <w:r w:rsidRPr="00720AEC">
        <w:rPr>
          <w:rFonts w:ascii="Calibri" w:eastAsia="Calibri" w:hAnsi="Calibri"/>
          <w:szCs w:val="22"/>
          <w:u w:val="single"/>
        </w:rPr>
        <w:t xml:space="preserve"> antibody)</w:t>
      </w:r>
      <w:r>
        <w:rPr>
          <w:rFonts w:ascii="Calibri" w:eastAsia="Calibri" w:hAnsi="Calibri"/>
          <w:szCs w:val="22"/>
          <w:u w:val="single"/>
        </w:rPr>
        <w:t xml:space="preserve">: </w:t>
      </w:r>
      <w:r w:rsidRPr="00720AEC">
        <w:rPr>
          <w:rFonts w:ascii="Calibri" w:eastAsia="Calibri" w:hAnsi="Calibri"/>
          <w:szCs w:val="22"/>
          <w:u w:val="single"/>
        </w:rPr>
        <w:t>Patient less than 3 year</w:t>
      </w:r>
      <w:r>
        <w:rPr>
          <w:rFonts w:ascii="Calibri" w:eastAsia="Calibri" w:hAnsi="Calibri"/>
          <w:szCs w:val="22"/>
          <w:u w:val="single"/>
        </w:rPr>
        <w:t>s</w:t>
      </w:r>
      <w:r w:rsidRPr="00720AEC">
        <w:rPr>
          <w:rFonts w:ascii="Calibri" w:eastAsia="Calibri" w:hAnsi="Calibri"/>
          <w:szCs w:val="22"/>
          <w:u w:val="single"/>
        </w:rPr>
        <w:t xml:space="preserve"> of age</w:t>
      </w:r>
    </w:p>
    <w:p w14:paraId="13EB5A57"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The ESPGHAN New Guidelines for the Diagnosis of Paediatric Coeliac Disease (2022) recommends the combination of total IgA and IgA class antibodies against transglutaminase 2 (</w:t>
      </w:r>
      <w:proofErr w:type="spellStart"/>
      <w:r w:rsidRPr="00720AEC">
        <w:rPr>
          <w:rFonts w:ascii="Calibri" w:eastAsia="Calibri" w:hAnsi="Calibri"/>
          <w:szCs w:val="22"/>
        </w:rPr>
        <w:t>tTG</w:t>
      </w:r>
      <w:proofErr w:type="spellEnd"/>
      <w:r w:rsidRPr="00720AEC">
        <w:rPr>
          <w:rFonts w:ascii="Calibri" w:eastAsia="Calibri" w:hAnsi="Calibri"/>
          <w:szCs w:val="22"/>
        </w:rPr>
        <w:t>-IgA) for initial testing.  In children with low total IgA concentrations (low for age or &lt;0.2 g/L above the age of 3 years), an IgG-</w:t>
      </w:r>
      <w:proofErr w:type="spellStart"/>
      <w:r w:rsidRPr="00720AEC">
        <w:rPr>
          <w:rFonts w:ascii="Calibri" w:eastAsia="Calibri" w:hAnsi="Calibri"/>
          <w:szCs w:val="22"/>
        </w:rPr>
        <w:t>tTG</w:t>
      </w:r>
      <w:proofErr w:type="spellEnd"/>
      <w:r w:rsidRPr="00720AEC">
        <w:rPr>
          <w:rFonts w:ascii="Calibri" w:eastAsia="Calibri" w:hAnsi="Calibri"/>
          <w:szCs w:val="22"/>
        </w:rPr>
        <w:t xml:space="preserve"> test should be performed as a second step.</w:t>
      </w:r>
    </w:p>
    <w:p w14:paraId="46F57633"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 xml:space="preserve">Prior to the York Immunology service transferring to Hull in March 2023, for the coeliac screen, all children under 16 years of age would also have IgA requested.  If a low/undetectable IgA concentration was detected, patients would have second line IgG </w:t>
      </w:r>
      <w:proofErr w:type="spellStart"/>
      <w:r w:rsidRPr="00720AEC">
        <w:rPr>
          <w:rFonts w:ascii="Calibri" w:eastAsia="Calibri" w:hAnsi="Calibri"/>
          <w:szCs w:val="22"/>
        </w:rPr>
        <w:t>endomysial</w:t>
      </w:r>
      <w:proofErr w:type="spellEnd"/>
      <w:r w:rsidRPr="00720AEC">
        <w:rPr>
          <w:rFonts w:ascii="Calibri" w:eastAsia="Calibri" w:hAnsi="Calibri"/>
          <w:szCs w:val="22"/>
        </w:rPr>
        <w:t xml:space="preserve"> Ab.</w:t>
      </w:r>
    </w:p>
    <w:p w14:paraId="51C45E04"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The method for detecting IgA-anti-</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in Hull has an in-built control to flag samples with low concentrations of IgA as an assay verification step, therefore IgA is not routinely requested as part of the Coeliac screen.  In addition, in Hull, </w:t>
      </w:r>
      <w:r w:rsidRPr="00720AEC">
        <w:rPr>
          <w:rFonts w:ascii="Calibri" w:eastAsia="Calibri" w:hAnsi="Calibri"/>
          <w:szCs w:val="22"/>
          <w:u w:val="single"/>
        </w:rPr>
        <w:t>patients under 4 years of age have both IgA and IgG anti-</w:t>
      </w:r>
      <w:proofErr w:type="spellStart"/>
      <w:r w:rsidRPr="00720AEC">
        <w:rPr>
          <w:rFonts w:ascii="Calibri" w:eastAsia="Calibri" w:hAnsi="Calibri"/>
          <w:szCs w:val="22"/>
          <w:u w:val="single"/>
        </w:rPr>
        <w:t>tTG</w:t>
      </w:r>
      <w:proofErr w:type="spellEnd"/>
      <w:r w:rsidRPr="00720AEC">
        <w:rPr>
          <w:rFonts w:ascii="Calibri" w:eastAsia="Calibri" w:hAnsi="Calibri"/>
          <w:szCs w:val="22"/>
          <w:u w:val="single"/>
        </w:rPr>
        <w:t xml:space="preserve"> antibodies tested</w:t>
      </w:r>
      <w:r w:rsidRPr="00720AEC">
        <w:rPr>
          <w:rFonts w:ascii="Calibri" w:eastAsia="Calibri" w:hAnsi="Calibri"/>
          <w:szCs w:val="22"/>
        </w:rPr>
        <w:t xml:space="preserve">, so not to miss any potential patients with low IgA concentration.  </w:t>
      </w:r>
    </w:p>
    <w:p w14:paraId="755790F9" w14:textId="608CDBDE"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lastRenderedPageBreak/>
        <w:t xml:space="preserve">Between July 2023 and </w:t>
      </w:r>
      <w:r w:rsidRPr="00720AEC">
        <w:rPr>
          <w:rFonts w:ascii="Calibri" w:eastAsia="Calibri" w:hAnsi="Calibri"/>
          <w:szCs w:val="22"/>
        </w:rPr>
        <w:t>January 2024,</w:t>
      </w:r>
      <w:r w:rsidRPr="00720AEC">
        <w:rPr>
          <w:rFonts w:ascii="Calibri" w:eastAsia="Calibri" w:hAnsi="Calibri"/>
          <w:szCs w:val="22"/>
        </w:rPr>
        <w:t xml:space="preserve"> we have </w:t>
      </w:r>
      <w:r w:rsidRPr="00720AEC">
        <w:rPr>
          <w:rFonts w:ascii="Calibri" w:eastAsia="Calibri" w:hAnsi="Calibri"/>
          <w:szCs w:val="22"/>
          <w:u w:val="single"/>
        </w:rPr>
        <w:t>not</w:t>
      </w:r>
      <w:r w:rsidRPr="00720AEC">
        <w:rPr>
          <w:rFonts w:ascii="Calibri" w:eastAsia="Calibri" w:hAnsi="Calibri"/>
          <w:szCs w:val="22"/>
        </w:rPr>
        <w:t xml:space="preserve"> automatically performed IgG TTG in children &lt;4yrs of age. </w:t>
      </w:r>
      <w:r w:rsidRPr="00720AEC">
        <w:rPr>
          <w:rFonts w:ascii="Calibri" w:eastAsia="Calibri" w:hAnsi="Calibri"/>
          <w:szCs w:val="22"/>
        </w:rPr>
        <w:t>Therefore,</w:t>
      </w:r>
      <w:r w:rsidRPr="00720AEC">
        <w:rPr>
          <w:rFonts w:ascii="Calibri" w:eastAsia="Calibri" w:hAnsi="Calibri"/>
          <w:szCs w:val="22"/>
        </w:rPr>
        <w:t xml:space="preserve"> we have some concerns that false negative anti-IgA TTG results may have been reported without second line IgG TTG testing being performed.   The risk is very low, &lt;0.5%.  Out of 427 patients less than 4 years of who had had both IgA and IgG </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antibody test, 2 had a negative IgA </w:t>
      </w:r>
      <w:proofErr w:type="spellStart"/>
      <w:r w:rsidRPr="00720AEC">
        <w:rPr>
          <w:rFonts w:ascii="Calibri" w:eastAsia="Calibri" w:hAnsi="Calibri"/>
          <w:szCs w:val="22"/>
        </w:rPr>
        <w:t>tTG</w:t>
      </w:r>
      <w:proofErr w:type="spellEnd"/>
      <w:r w:rsidRPr="00720AEC">
        <w:rPr>
          <w:rFonts w:ascii="Calibri" w:eastAsia="Calibri" w:hAnsi="Calibri"/>
          <w:szCs w:val="22"/>
        </w:rPr>
        <w:t xml:space="preserve"> and positive IgG </w:t>
      </w:r>
      <w:proofErr w:type="spellStart"/>
      <w:r w:rsidRPr="00720AEC">
        <w:rPr>
          <w:rFonts w:ascii="Calibri" w:eastAsia="Calibri" w:hAnsi="Calibri"/>
          <w:szCs w:val="22"/>
        </w:rPr>
        <w:t>tTG</w:t>
      </w:r>
      <w:proofErr w:type="spellEnd"/>
      <w:r w:rsidRPr="00720AEC">
        <w:rPr>
          <w:rFonts w:ascii="Calibri" w:eastAsia="Calibri" w:hAnsi="Calibri"/>
          <w:szCs w:val="22"/>
        </w:rPr>
        <w:t>.</w:t>
      </w:r>
    </w:p>
    <w:p w14:paraId="3B619246" w14:textId="075026EB" w:rsidR="00720AEC" w:rsidRPr="00720AEC" w:rsidRDefault="00720AEC" w:rsidP="00720AEC">
      <w:pPr>
        <w:spacing w:after="160" w:line="259" w:lineRule="auto"/>
        <w:rPr>
          <w:rFonts w:ascii="Calibri" w:eastAsia="Calibri" w:hAnsi="Calibri"/>
          <w:b/>
          <w:color w:val="FF0000"/>
          <w:szCs w:val="22"/>
        </w:rPr>
      </w:pPr>
      <w:r w:rsidRPr="00720AEC">
        <w:rPr>
          <w:rFonts w:ascii="Calibri" w:eastAsia="Calibri" w:hAnsi="Calibri"/>
          <w:b/>
          <w:color w:val="FF0000"/>
          <w:szCs w:val="22"/>
        </w:rPr>
        <w:t xml:space="preserve">If you have a patient with a high degree of clinical suspicion for coeliac with a negative IgA TTG result and no IgG TTG or IgG EMA </w:t>
      </w:r>
      <w:r w:rsidRPr="00720AEC">
        <w:rPr>
          <w:rFonts w:ascii="Calibri" w:eastAsia="Calibri" w:hAnsi="Calibri"/>
          <w:b/>
          <w:color w:val="FF0000"/>
          <w:szCs w:val="22"/>
        </w:rPr>
        <w:t>result,</w:t>
      </w:r>
      <w:r w:rsidRPr="00720AEC">
        <w:rPr>
          <w:rFonts w:ascii="Calibri" w:eastAsia="Calibri" w:hAnsi="Calibri"/>
          <w:b/>
          <w:color w:val="FF0000"/>
          <w:szCs w:val="22"/>
        </w:rPr>
        <w:t xml:space="preserve"> then please consider repeat testing (</w:t>
      </w:r>
      <w:r w:rsidRPr="00720AEC">
        <w:rPr>
          <w:rFonts w:ascii="Calibri" w:eastAsia="Calibri" w:hAnsi="Calibri"/>
          <w:b/>
          <w:color w:val="FF0000"/>
          <w:szCs w:val="22"/>
        </w:rPr>
        <w:t>and</w:t>
      </w:r>
      <w:r w:rsidRPr="00720AEC">
        <w:rPr>
          <w:rFonts w:ascii="Calibri" w:eastAsia="Calibri" w:hAnsi="Calibri"/>
          <w:b/>
          <w:color w:val="FF0000"/>
          <w:szCs w:val="22"/>
        </w:rPr>
        <w:t xml:space="preserve"> check immunoglobulins).</w:t>
      </w:r>
    </w:p>
    <w:p w14:paraId="29355DF9" w14:textId="77777777"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 xml:space="preserve">The second line IgG </w:t>
      </w:r>
      <w:proofErr w:type="spellStart"/>
      <w:r w:rsidRPr="00720AEC">
        <w:rPr>
          <w:rFonts w:ascii="Calibri" w:eastAsia="Calibri" w:hAnsi="Calibri"/>
          <w:szCs w:val="22"/>
        </w:rPr>
        <w:t>tTG</w:t>
      </w:r>
      <w:proofErr w:type="spellEnd"/>
      <w:r w:rsidRPr="00720AEC">
        <w:rPr>
          <w:rFonts w:ascii="Calibri" w:eastAsia="Calibri" w:hAnsi="Calibri"/>
          <w:szCs w:val="22"/>
        </w:rPr>
        <w:t xml:space="preserve"> test is now requested on all patients under 4 years and additionally IgA will be measured on all request for patients under 17 years of age (Please also see the communication re: issues identified with the low IgA flag).</w:t>
      </w:r>
    </w:p>
    <w:p w14:paraId="7F62EB6D" w14:textId="121EDE0B" w:rsidR="00720AEC" w:rsidRPr="00720AEC" w:rsidRDefault="00720AEC" w:rsidP="00720AEC">
      <w:pPr>
        <w:spacing w:after="160" w:line="259" w:lineRule="auto"/>
        <w:rPr>
          <w:rFonts w:ascii="Calibri" w:eastAsia="Calibri" w:hAnsi="Calibri"/>
          <w:szCs w:val="22"/>
        </w:rPr>
      </w:pPr>
      <w:r w:rsidRPr="00720AEC">
        <w:rPr>
          <w:rFonts w:ascii="Calibri" w:eastAsia="Calibri" w:hAnsi="Calibri"/>
          <w:szCs w:val="22"/>
        </w:rPr>
        <w:t xml:space="preserve">If you have any questions or to </w:t>
      </w:r>
      <w:r w:rsidR="00BF0B7D" w:rsidRPr="00720AEC">
        <w:rPr>
          <w:rFonts w:ascii="Calibri" w:eastAsia="Calibri" w:hAnsi="Calibri"/>
          <w:szCs w:val="22"/>
        </w:rPr>
        <w:t>discuss,</w:t>
      </w:r>
      <w:r w:rsidRPr="00720AEC">
        <w:rPr>
          <w:rFonts w:ascii="Calibri" w:eastAsia="Calibri" w:hAnsi="Calibri"/>
          <w:szCs w:val="22"/>
        </w:rPr>
        <w:t xml:space="preserve"> please contact the Immunology via </w:t>
      </w:r>
      <w:r w:rsidRPr="00720AEC">
        <w:rPr>
          <w:rFonts w:ascii="Calibri" w:eastAsia="Calibri" w:hAnsi="Calibri"/>
          <w:szCs w:val="22"/>
        </w:rPr>
        <w:t>email:</w:t>
      </w:r>
      <w:r w:rsidRPr="00720AEC">
        <w:rPr>
          <w:rFonts w:ascii="Calibri" w:eastAsia="Calibri" w:hAnsi="Calibri"/>
          <w:szCs w:val="22"/>
        </w:rPr>
        <w:t xml:space="preserve"> anna.mchugh@nhs.net</w:t>
      </w:r>
    </w:p>
    <w:p w14:paraId="10EEA9DD" w14:textId="77777777" w:rsidR="00720AEC" w:rsidRPr="00720AEC" w:rsidRDefault="00720AEC" w:rsidP="00720AEC">
      <w:pPr>
        <w:spacing w:after="160" w:line="259" w:lineRule="auto"/>
        <w:rPr>
          <w:rFonts w:ascii="Calibri" w:eastAsia="Calibri" w:hAnsi="Calibri"/>
          <w:szCs w:val="22"/>
        </w:rPr>
      </w:pPr>
    </w:p>
    <w:p w14:paraId="2EF7411A" w14:textId="77777777" w:rsidR="00720AEC" w:rsidRPr="00720AEC" w:rsidRDefault="00720AEC" w:rsidP="00720AEC">
      <w:pPr>
        <w:spacing w:after="160" w:line="259" w:lineRule="auto"/>
        <w:rPr>
          <w:rFonts w:ascii="Calibri" w:eastAsia="Calibri" w:hAnsi="Calibri"/>
          <w:szCs w:val="22"/>
        </w:rPr>
      </w:pPr>
    </w:p>
    <w:p w14:paraId="5E8956AA" w14:textId="77777777" w:rsidR="00720AEC" w:rsidRPr="00720AEC" w:rsidRDefault="00720AEC" w:rsidP="00720AEC">
      <w:pPr>
        <w:spacing w:after="160" w:line="259" w:lineRule="auto"/>
        <w:rPr>
          <w:rFonts w:ascii="Calibri" w:eastAsia="Calibri" w:hAnsi="Calibri"/>
          <w:szCs w:val="22"/>
        </w:rPr>
      </w:pPr>
    </w:p>
    <w:p w14:paraId="55CE97E4" w14:textId="77777777" w:rsidR="00720AEC" w:rsidRPr="00720AEC" w:rsidRDefault="00720AEC" w:rsidP="00720AEC">
      <w:pPr>
        <w:spacing w:after="160" w:line="259" w:lineRule="auto"/>
        <w:rPr>
          <w:rFonts w:ascii="Calibri" w:eastAsia="Calibri" w:hAnsi="Calibri"/>
          <w:szCs w:val="22"/>
        </w:rPr>
      </w:pPr>
    </w:p>
    <w:p w14:paraId="71A5E163" w14:textId="77777777" w:rsidR="00720AEC" w:rsidRPr="00720AEC" w:rsidRDefault="00720AEC" w:rsidP="00720AEC">
      <w:pPr>
        <w:spacing w:after="160" w:line="259" w:lineRule="auto"/>
        <w:rPr>
          <w:rFonts w:ascii="Calibri" w:eastAsia="Calibri" w:hAnsi="Calibri"/>
          <w:szCs w:val="22"/>
        </w:rPr>
      </w:pPr>
    </w:p>
    <w:p w14:paraId="03C491D3" w14:textId="77777777" w:rsidR="00720AEC" w:rsidRPr="00720AEC" w:rsidRDefault="00720AEC" w:rsidP="00720AEC">
      <w:pPr>
        <w:spacing w:after="160" w:line="259" w:lineRule="auto"/>
        <w:rPr>
          <w:rFonts w:ascii="Calibri" w:eastAsia="Calibri" w:hAnsi="Calibri"/>
          <w:b/>
          <w:szCs w:val="22"/>
        </w:rPr>
      </w:pPr>
    </w:p>
    <w:p w14:paraId="5D0CC76B" w14:textId="77777777" w:rsidR="00C32524" w:rsidRDefault="00C32524" w:rsidP="00FB4846">
      <w:pPr>
        <w:jc w:val="center"/>
      </w:pPr>
    </w:p>
    <w:p w14:paraId="4E4B33B4" w14:textId="77777777" w:rsidR="00FB4846" w:rsidRDefault="00FB4846" w:rsidP="00FB4846">
      <w:pPr>
        <w:jc w:val="center"/>
      </w:pPr>
    </w:p>
    <w:p w14:paraId="360B6672" w14:textId="4DDB6642" w:rsidR="00FB4846" w:rsidRDefault="00FB4846" w:rsidP="00FB4846">
      <w:pPr>
        <w:jc w:val="center"/>
      </w:pPr>
    </w:p>
    <w:p w14:paraId="6E65E606" w14:textId="77777777" w:rsidR="00FB4846" w:rsidRPr="00C32524" w:rsidRDefault="00FB4846" w:rsidP="00FB4846">
      <w:pPr>
        <w:jc w:val="center"/>
      </w:pPr>
    </w:p>
    <w:p w14:paraId="56366060" w14:textId="77777777" w:rsidR="00C832EE" w:rsidRPr="00FB4846" w:rsidRDefault="00C832EE" w:rsidP="00FB4846">
      <w:pPr>
        <w:jc w:val="center"/>
        <w:rPr>
          <w:i/>
          <w:color w:val="4F81BD" w:themeColor="accent1"/>
        </w:rPr>
      </w:pPr>
    </w:p>
    <w:sectPr w:rsidR="00C832EE" w:rsidRPr="00FB4846" w:rsidSect="00AF49C1">
      <w:headerReference w:type="default" r:id="rId7"/>
      <w:footerReference w:type="default" r:id="rId8"/>
      <w:pgSz w:w="11906" w:h="16838" w:code="9"/>
      <w:pgMar w:top="1191" w:right="1134" w:bottom="1191" w:left="1134" w:header="39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5BA9" w14:textId="77777777" w:rsidR="00E31267" w:rsidRDefault="00E31267">
      <w:pPr>
        <w:spacing w:after="0"/>
      </w:pPr>
      <w:r>
        <w:separator/>
      </w:r>
    </w:p>
  </w:endnote>
  <w:endnote w:type="continuationSeparator" w:id="0">
    <w:p w14:paraId="19E4D162" w14:textId="77777777" w:rsidR="00E31267" w:rsidRDefault="00E31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BC0C" w14:textId="77777777" w:rsidR="00BD16DB" w:rsidRDefault="00AF49C1">
    <w:pPr>
      <w:pStyle w:val="Footer"/>
    </w:pPr>
    <w:r>
      <w:ptab w:relativeTo="margin" w:alignment="center" w:leader="none"/>
    </w:r>
    <w:r w:rsidR="003E397A">
      <w:t>UNAUTHORISED COPY</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6B87" w14:textId="77777777" w:rsidR="00E31267" w:rsidRDefault="00E31267">
      <w:pPr>
        <w:spacing w:after="0"/>
      </w:pPr>
      <w:r>
        <w:separator/>
      </w:r>
    </w:p>
  </w:footnote>
  <w:footnote w:type="continuationSeparator" w:id="0">
    <w:p w14:paraId="01C1975E" w14:textId="77777777" w:rsidR="00E31267" w:rsidRDefault="00E31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top w:val="single" w:sz="4" w:space="0" w:color="auto"/>
        <w:bottom w:val="single" w:sz="4" w:space="0" w:color="auto"/>
      </w:tblBorders>
      <w:tblLayout w:type="fixed"/>
      <w:tblLook w:val="0000" w:firstRow="0" w:lastRow="0" w:firstColumn="0" w:lastColumn="0" w:noHBand="0" w:noVBand="0"/>
    </w:tblPr>
    <w:tblGrid>
      <w:gridCol w:w="10490"/>
    </w:tblGrid>
    <w:tr w:rsidR="00C32524" w14:paraId="5704923C" w14:textId="77777777" w:rsidTr="0009748A">
      <w:trPr>
        <w:trHeight w:val="422"/>
        <w:tblHeader/>
      </w:trPr>
      <w:tc>
        <w:tcPr>
          <w:tcW w:w="10490" w:type="dxa"/>
          <w:shd w:val="pct5" w:color="auto" w:fill="FFFFFF"/>
        </w:tcPr>
        <w:p w14:paraId="3586EAFF" w14:textId="547C9F05" w:rsidR="00C32524" w:rsidRPr="00035BE2" w:rsidRDefault="00720AEC" w:rsidP="009176EA">
          <w:pPr>
            <w:pStyle w:val="Header"/>
            <w:tabs>
              <w:tab w:val="clear" w:pos="8306"/>
              <w:tab w:val="right" w:pos="9531"/>
            </w:tabs>
            <w:spacing w:before="10" w:after="40"/>
            <w:rPr>
              <w:rFonts w:cs="Arial"/>
              <w:bCs/>
              <w:color w:val="000000"/>
              <w:sz w:val="18"/>
              <w:szCs w:val="18"/>
            </w:rPr>
          </w:pPr>
          <w:r>
            <w:rPr>
              <w:rFonts w:cs="Arial"/>
              <w:bCs/>
              <w:noProof/>
              <w:color w:val="000000"/>
              <w:sz w:val="18"/>
              <w:szCs w:val="18"/>
              <w:lang w:eastAsia="en-GB"/>
            </w:rPr>
            <w:drawing>
              <wp:anchor distT="0" distB="0" distL="114300" distR="114300" simplePos="0" relativeHeight="251661824" behindDoc="0" locked="0" layoutInCell="1" allowOverlap="1" wp14:anchorId="2697FD74" wp14:editId="23B89775">
                <wp:simplePos x="0" y="0"/>
                <wp:positionH relativeFrom="column">
                  <wp:posOffset>3259143</wp:posOffset>
                </wp:positionH>
                <wp:positionV relativeFrom="paragraph">
                  <wp:posOffset>180939</wp:posOffset>
                </wp:positionV>
                <wp:extent cx="3242818" cy="543464"/>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2818" cy="543464"/>
                        </a:xfrm>
                        <a:prstGeom prst="rect">
                          <a:avLst/>
                        </a:prstGeom>
                        <a:noFill/>
                      </pic:spPr>
                    </pic:pic>
                  </a:graphicData>
                </a:graphic>
                <wp14:sizeRelH relativeFrom="page">
                  <wp14:pctWidth>0</wp14:pctWidth>
                </wp14:sizeRelH>
                <wp14:sizeRelV relativeFrom="page">
                  <wp14:pctHeight>0</wp14:pctHeight>
                </wp14:sizeRelV>
              </wp:anchor>
            </w:drawing>
          </w:r>
          <w:r w:rsidR="00C32524">
            <w:rPr>
              <w:rFonts w:cs="Arial"/>
              <w:bCs/>
              <w:color w:val="000000"/>
              <w:sz w:val="18"/>
              <w:szCs w:val="18"/>
            </w:rPr>
            <w:t>Service:</w:t>
          </w:r>
          <w:r>
            <w:rPr>
              <w:rFonts w:cs="Arial"/>
              <w:bCs/>
              <w:color w:val="000000"/>
              <w:sz w:val="18"/>
              <w:szCs w:val="18"/>
            </w:rPr>
            <w:t xml:space="preserve"> SHYPS - Immunology</w:t>
          </w:r>
          <w:r w:rsidR="00DA4A21" w:rsidRPr="00720AEC">
            <w:rPr>
              <w:rFonts w:cs="Arial"/>
              <w:bCs/>
              <w:i/>
              <w:color w:val="5B9BD5"/>
              <w:sz w:val="18"/>
              <w:szCs w:val="18"/>
            </w:rPr>
            <w:t xml:space="preserve">                  </w:t>
          </w:r>
          <w:r w:rsidR="00C32524" w:rsidRPr="00720AEC">
            <w:rPr>
              <w:rFonts w:cs="Arial"/>
              <w:bCs/>
              <w:i/>
              <w:color w:val="5B9BD5"/>
              <w:sz w:val="18"/>
              <w:szCs w:val="18"/>
            </w:rPr>
            <w:t xml:space="preserve">                                                                                                                            </w:t>
          </w:r>
          <w:r w:rsidR="00C32524" w:rsidRPr="00035BE2">
            <w:rPr>
              <w:rFonts w:cs="Arial"/>
              <w:bCs/>
              <w:sz w:val="18"/>
              <w:szCs w:val="18"/>
            </w:rPr>
            <w:t>Filename:</w:t>
          </w:r>
          <w:r>
            <w:rPr>
              <w:sz w:val="18"/>
              <w:szCs w:val="18"/>
            </w:rPr>
            <w:t xml:space="preserve"> IM-INF-COELIAC</w:t>
          </w:r>
          <w:r w:rsidR="00C32524" w:rsidRPr="00720AEC">
            <w:rPr>
              <w:i/>
              <w:color w:val="5B9BD5"/>
              <w:sz w:val="18"/>
              <w:szCs w:val="18"/>
            </w:rPr>
            <w:t xml:space="preserve">                                                                                                 </w:t>
          </w:r>
          <w:r w:rsidR="00C32524" w:rsidRPr="00720AEC">
            <w:rPr>
              <w:rFonts w:cs="Arial"/>
              <w:bCs/>
              <w:i/>
              <w:color w:val="5B9BD5"/>
              <w:sz w:val="18"/>
              <w:szCs w:val="18"/>
            </w:rPr>
            <w:t xml:space="preserve">                                              </w:t>
          </w:r>
        </w:p>
        <w:p w14:paraId="306DB79A" w14:textId="093B7D03" w:rsidR="00DA66D8" w:rsidRDefault="00DA66D8" w:rsidP="009176EA">
          <w:pPr>
            <w:pStyle w:val="Header"/>
            <w:tabs>
              <w:tab w:val="clear" w:pos="4153"/>
              <w:tab w:val="center" w:pos="9459"/>
            </w:tabs>
            <w:spacing w:before="10" w:after="40"/>
            <w:rPr>
              <w:rFonts w:cs="Arial"/>
              <w:bCs/>
              <w:sz w:val="18"/>
              <w:szCs w:val="18"/>
            </w:rPr>
          </w:pPr>
          <w:r>
            <w:rPr>
              <w:rFonts w:cs="Arial"/>
              <w:bCs/>
              <w:sz w:val="18"/>
              <w:szCs w:val="18"/>
            </w:rPr>
            <w:t>Title:</w:t>
          </w:r>
          <w:r w:rsidR="00720AEC">
            <w:rPr>
              <w:rFonts w:cs="Arial"/>
              <w:bCs/>
              <w:sz w:val="18"/>
              <w:szCs w:val="18"/>
            </w:rPr>
            <w:t xml:space="preserve"> </w:t>
          </w:r>
          <w:r w:rsidR="00720AEC" w:rsidRPr="00720AEC">
            <w:rPr>
              <w:rFonts w:cs="Arial"/>
              <w:bCs/>
              <w:sz w:val="18"/>
              <w:szCs w:val="18"/>
            </w:rPr>
            <w:t>Issues the Coeliac Disease Antibody Screening Test</w:t>
          </w:r>
        </w:p>
        <w:p w14:paraId="13F209F0" w14:textId="541BB4DD" w:rsidR="00C32524" w:rsidRDefault="00C32524" w:rsidP="009176EA">
          <w:pPr>
            <w:pStyle w:val="Header"/>
            <w:tabs>
              <w:tab w:val="clear" w:pos="4153"/>
              <w:tab w:val="center" w:pos="9459"/>
            </w:tabs>
            <w:spacing w:before="10" w:after="40"/>
            <w:rPr>
              <w:rFonts w:cs="Arial"/>
              <w:bCs/>
              <w:sz w:val="18"/>
              <w:szCs w:val="18"/>
            </w:rPr>
          </w:pPr>
          <w:r w:rsidRPr="00035BE2">
            <w:rPr>
              <w:rFonts w:cs="Arial"/>
              <w:bCs/>
              <w:sz w:val="18"/>
              <w:szCs w:val="18"/>
            </w:rPr>
            <w:t>Version:</w:t>
          </w:r>
          <w:r w:rsidR="00720AEC">
            <w:rPr>
              <w:rFonts w:cs="Arial"/>
              <w:bCs/>
              <w:sz w:val="18"/>
              <w:szCs w:val="18"/>
            </w:rPr>
            <w:t xml:space="preserve"> 01</w:t>
          </w:r>
          <w:r w:rsidRPr="00720AEC">
            <w:rPr>
              <w:i/>
              <w:color w:val="5B9BD5"/>
              <w:sz w:val="18"/>
              <w:szCs w:val="18"/>
            </w:rPr>
            <w:t xml:space="preserve">                                                                                                 </w:t>
          </w:r>
          <w:r w:rsidRPr="00720AEC">
            <w:rPr>
              <w:rFonts w:cs="Arial"/>
              <w:bCs/>
              <w:i/>
              <w:color w:val="5B9BD5"/>
              <w:sz w:val="18"/>
              <w:szCs w:val="18"/>
            </w:rPr>
            <w:t xml:space="preserve">                                              </w:t>
          </w:r>
        </w:p>
        <w:p w14:paraId="4773F2BC" w14:textId="02EDBE53" w:rsidR="00C32524" w:rsidRPr="00035BE2" w:rsidRDefault="00C32524" w:rsidP="009176EA">
          <w:pPr>
            <w:pStyle w:val="Header"/>
            <w:tabs>
              <w:tab w:val="clear" w:pos="4153"/>
              <w:tab w:val="center" w:pos="9459"/>
            </w:tabs>
            <w:spacing w:before="10" w:after="40"/>
            <w:rPr>
              <w:rFonts w:cs="Arial"/>
              <w:bCs/>
              <w:color w:val="000000"/>
              <w:sz w:val="18"/>
              <w:szCs w:val="18"/>
            </w:rPr>
          </w:pPr>
          <w:r w:rsidRPr="0075089A">
            <w:rPr>
              <w:rFonts w:cs="Arial"/>
              <w:bCs/>
              <w:sz w:val="18"/>
              <w:szCs w:val="18"/>
            </w:rPr>
            <w:t>Date of Issue:</w:t>
          </w:r>
          <w:r w:rsidR="00720AEC">
            <w:rPr>
              <w:rFonts w:cs="Arial"/>
              <w:bCs/>
              <w:sz w:val="18"/>
              <w:szCs w:val="18"/>
            </w:rPr>
            <w:t xml:space="preserve"> February 2024</w:t>
          </w:r>
          <w:r w:rsidRPr="00720AEC">
            <w:rPr>
              <w:i/>
              <w:iCs/>
              <w:color w:val="5B9BD5"/>
              <w:sz w:val="18"/>
              <w:szCs w:val="18"/>
            </w:rPr>
            <w:t xml:space="preserve">                                                                </w:t>
          </w:r>
          <w:r w:rsidRPr="00720AEC">
            <w:rPr>
              <w:rFonts w:cs="Arial"/>
              <w:bCs/>
              <w:i/>
              <w:iCs/>
              <w:color w:val="5B9BD5"/>
              <w:sz w:val="18"/>
              <w:szCs w:val="18"/>
            </w:rPr>
            <w:t xml:space="preserve">                                                                                                                                                                     </w:t>
          </w:r>
        </w:p>
        <w:p w14:paraId="4633F921" w14:textId="18EB9ACC" w:rsidR="00C32524" w:rsidRPr="00720AEC" w:rsidRDefault="00BD16DB" w:rsidP="009176EA">
          <w:pPr>
            <w:pStyle w:val="Header"/>
            <w:spacing w:before="10" w:after="40"/>
            <w:rPr>
              <w:rFonts w:cs="Arial"/>
              <w:bCs/>
              <w:i/>
              <w:color w:val="5B9BD5"/>
              <w:sz w:val="18"/>
              <w:szCs w:val="18"/>
            </w:rPr>
          </w:pPr>
          <w:r>
            <w:rPr>
              <w:rFonts w:cs="Arial"/>
              <w:bCs/>
              <w:sz w:val="18"/>
              <w:szCs w:val="18"/>
            </w:rPr>
            <w:t>Owner</w:t>
          </w:r>
          <w:r w:rsidR="00736721">
            <w:rPr>
              <w:rFonts w:cs="Arial"/>
              <w:bCs/>
              <w:sz w:val="18"/>
              <w:szCs w:val="18"/>
            </w:rPr>
            <w:t>:</w:t>
          </w:r>
          <w:r w:rsidR="00720AEC">
            <w:rPr>
              <w:rFonts w:cs="Arial"/>
              <w:bCs/>
              <w:sz w:val="18"/>
              <w:szCs w:val="18"/>
            </w:rPr>
            <w:t xml:space="preserve"> Mark Hajjawi</w:t>
          </w:r>
          <w:r w:rsidR="00C32524" w:rsidRPr="00720AEC">
            <w:rPr>
              <w:i/>
              <w:color w:val="5B9BD5"/>
              <w:sz w:val="18"/>
              <w:szCs w:val="18"/>
            </w:rPr>
            <w:t xml:space="preserve">                                                                                               </w:t>
          </w:r>
          <w:r w:rsidR="00C32524" w:rsidRPr="00720AEC">
            <w:rPr>
              <w:rFonts w:cs="Arial"/>
              <w:bCs/>
              <w:i/>
              <w:color w:val="5B9BD5"/>
              <w:sz w:val="18"/>
              <w:szCs w:val="18"/>
            </w:rPr>
            <w:t xml:space="preserve">                                              </w:t>
          </w:r>
        </w:p>
        <w:p w14:paraId="52E930DE" w14:textId="77777777" w:rsidR="00C32524" w:rsidRPr="005B12C0" w:rsidRDefault="00C32524" w:rsidP="009176EA">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3E397A" w:rsidRPr="003E397A">
            <w:rPr>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3E397A" w:rsidRPr="003E397A">
            <w:rPr>
              <w:bCs/>
              <w:noProof/>
              <w:snapToGrid w:val="0"/>
              <w:sz w:val="18"/>
              <w:szCs w:val="18"/>
            </w:rPr>
            <w:t>1</w:t>
          </w:r>
          <w:r w:rsidRPr="00035BE2">
            <w:rPr>
              <w:rFonts w:cs="Arial"/>
              <w:bCs/>
              <w:snapToGrid w:val="0"/>
              <w:sz w:val="18"/>
              <w:szCs w:val="18"/>
            </w:rPr>
            <w:fldChar w:fldCharType="end"/>
          </w:r>
        </w:p>
      </w:tc>
    </w:tr>
  </w:tbl>
  <w:p w14:paraId="656ADC9D" w14:textId="77777777" w:rsidR="00C32524" w:rsidRDefault="00C3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5559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6"/>
    <w:rsid w:val="000200D5"/>
    <w:rsid w:val="0009748A"/>
    <w:rsid w:val="00103BB5"/>
    <w:rsid w:val="00136575"/>
    <w:rsid w:val="00162687"/>
    <w:rsid w:val="00174B2C"/>
    <w:rsid w:val="0028765F"/>
    <w:rsid w:val="002E5CD4"/>
    <w:rsid w:val="00302DE8"/>
    <w:rsid w:val="003E397A"/>
    <w:rsid w:val="003F220C"/>
    <w:rsid w:val="00416FC1"/>
    <w:rsid w:val="0045480B"/>
    <w:rsid w:val="00465001"/>
    <w:rsid w:val="00564659"/>
    <w:rsid w:val="005A574C"/>
    <w:rsid w:val="00642B14"/>
    <w:rsid w:val="006527F3"/>
    <w:rsid w:val="0068774E"/>
    <w:rsid w:val="006C099B"/>
    <w:rsid w:val="00720AEC"/>
    <w:rsid w:val="00736721"/>
    <w:rsid w:val="00766CB3"/>
    <w:rsid w:val="00822FCC"/>
    <w:rsid w:val="00851C05"/>
    <w:rsid w:val="00864EB7"/>
    <w:rsid w:val="00882288"/>
    <w:rsid w:val="00895E10"/>
    <w:rsid w:val="008E3BF1"/>
    <w:rsid w:val="009176EA"/>
    <w:rsid w:val="00945DC7"/>
    <w:rsid w:val="00A470DF"/>
    <w:rsid w:val="00A944F1"/>
    <w:rsid w:val="00AF49C1"/>
    <w:rsid w:val="00B255B9"/>
    <w:rsid w:val="00B70CD0"/>
    <w:rsid w:val="00B97313"/>
    <w:rsid w:val="00BD16DB"/>
    <w:rsid w:val="00BF0B7D"/>
    <w:rsid w:val="00C13174"/>
    <w:rsid w:val="00C32524"/>
    <w:rsid w:val="00C832EE"/>
    <w:rsid w:val="00C872D8"/>
    <w:rsid w:val="00CA5304"/>
    <w:rsid w:val="00CA6006"/>
    <w:rsid w:val="00CC6044"/>
    <w:rsid w:val="00CD338C"/>
    <w:rsid w:val="00CF3567"/>
    <w:rsid w:val="00D652AA"/>
    <w:rsid w:val="00DA4A21"/>
    <w:rsid w:val="00DA66D8"/>
    <w:rsid w:val="00E04F10"/>
    <w:rsid w:val="00E31267"/>
    <w:rsid w:val="00E42452"/>
    <w:rsid w:val="00E46670"/>
    <w:rsid w:val="00EA6A91"/>
    <w:rsid w:val="00EB1CB6"/>
    <w:rsid w:val="00EF5D89"/>
    <w:rsid w:val="00F44BFD"/>
    <w:rsid w:val="00F51DAD"/>
    <w:rsid w:val="00FB484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3C15100"/>
  <w15:docId w15:val="{4345DE9F-FEFE-4DDB-85E5-F00E040C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BalloonText">
    <w:name w:val="Balloon Text"/>
    <w:basedOn w:val="Normal"/>
    <w:link w:val="BalloonTextChar"/>
    <w:rsid w:val="00FB4846"/>
    <w:pPr>
      <w:spacing w:after="0"/>
    </w:pPr>
    <w:rPr>
      <w:rFonts w:ascii="Tahoma" w:hAnsi="Tahoma" w:cs="Tahoma"/>
      <w:sz w:val="16"/>
      <w:szCs w:val="16"/>
    </w:rPr>
  </w:style>
  <w:style w:type="character" w:customStyle="1" w:styleId="BalloonTextChar">
    <w:name w:val="Balloon Text Char"/>
    <w:basedOn w:val="DefaultParagraphFont"/>
    <w:link w:val="BalloonText"/>
    <w:rsid w:val="00FB48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jdavy</dc:creator>
  <cp:lastModifiedBy>FOX, Elizabeth (YORK AND SCARBOROUGH TEACHING HOSPITALS NHS FOUNDATION TRUST)</cp:lastModifiedBy>
  <cp:revision>3</cp:revision>
  <dcterms:created xsi:type="dcterms:W3CDTF">2024-02-15T09:53:00Z</dcterms:created>
  <dcterms:modified xsi:type="dcterms:W3CDTF">2024-02-15T09:54:00Z</dcterms:modified>
</cp:coreProperties>
</file>