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EAEC2" w14:textId="77777777" w:rsidR="00764466" w:rsidRDefault="00764466" w:rsidP="0003095A">
      <w:pPr>
        <w:rPr>
          <w:b/>
          <w:bCs/>
          <w:sz w:val="28"/>
          <w:szCs w:val="28"/>
        </w:rPr>
      </w:pPr>
    </w:p>
    <w:p w14:paraId="2B345583" w14:textId="77777777" w:rsidR="00764466" w:rsidRDefault="00764466" w:rsidP="0003095A">
      <w:pPr>
        <w:rPr>
          <w:b/>
          <w:bCs/>
          <w:sz w:val="28"/>
          <w:szCs w:val="28"/>
        </w:rPr>
      </w:pPr>
    </w:p>
    <w:p w14:paraId="41DE5B50" w14:textId="77777777" w:rsidR="00764466" w:rsidRDefault="00764466" w:rsidP="0003095A">
      <w:pPr>
        <w:rPr>
          <w:b/>
          <w:bCs/>
          <w:sz w:val="28"/>
          <w:szCs w:val="28"/>
        </w:rPr>
      </w:pPr>
    </w:p>
    <w:p w14:paraId="6AF3E71C" w14:textId="77777777" w:rsidR="00764466" w:rsidRDefault="00764466" w:rsidP="0003095A">
      <w:pPr>
        <w:rPr>
          <w:b/>
          <w:bCs/>
          <w:sz w:val="28"/>
          <w:szCs w:val="28"/>
        </w:rPr>
      </w:pPr>
    </w:p>
    <w:p w14:paraId="60D1E934" w14:textId="77777777" w:rsidR="00764466" w:rsidRDefault="00764466" w:rsidP="0003095A">
      <w:pPr>
        <w:rPr>
          <w:b/>
          <w:bCs/>
          <w:sz w:val="28"/>
          <w:szCs w:val="28"/>
        </w:rPr>
      </w:pPr>
    </w:p>
    <w:p w14:paraId="144D62A3" w14:textId="12CF9840" w:rsidR="000B4115" w:rsidRPr="0003525E" w:rsidRDefault="00764466" w:rsidP="0003095A">
      <w:pPr>
        <w:rPr>
          <w:b/>
          <w:bCs/>
          <w:sz w:val="28"/>
          <w:szCs w:val="28"/>
        </w:rPr>
      </w:pPr>
      <w:r w:rsidRPr="008543D5">
        <w:rPr>
          <w:noProof/>
        </w:rPr>
        <w:drawing>
          <wp:anchor distT="0" distB="0" distL="114300" distR="114300" simplePos="0" relativeHeight="251766272" behindDoc="0" locked="0" layoutInCell="1" allowOverlap="1" wp14:anchorId="28375E32" wp14:editId="0D0F5494">
            <wp:simplePos x="0" y="0"/>
            <wp:positionH relativeFrom="column">
              <wp:posOffset>4273062</wp:posOffset>
            </wp:positionH>
            <wp:positionV relativeFrom="page">
              <wp:posOffset>218294</wp:posOffset>
            </wp:positionV>
            <wp:extent cx="2325370" cy="1003300"/>
            <wp:effectExtent l="0" t="0" r="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25370" cy="1003300"/>
                    </a:xfrm>
                    <a:prstGeom prst="rect">
                      <a:avLst/>
                    </a:prstGeom>
                  </pic:spPr>
                </pic:pic>
              </a:graphicData>
            </a:graphic>
            <wp14:sizeRelH relativeFrom="margin">
              <wp14:pctWidth>0</wp14:pctWidth>
            </wp14:sizeRelH>
            <wp14:sizeRelV relativeFrom="margin">
              <wp14:pctHeight>0</wp14:pctHeight>
            </wp14:sizeRelV>
          </wp:anchor>
        </w:drawing>
      </w:r>
      <w:r w:rsidR="000B4115" w:rsidRPr="0003525E">
        <w:rPr>
          <w:b/>
          <w:bCs/>
          <w:sz w:val="28"/>
          <w:szCs w:val="28"/>
        </w:rPr>
        <w:t>NHS Workforce Race Equality Standard</w:t>
      </w:r>
      <w:r w:rsidR="003A3454">
        <w:rPr>
          <w:b/>
          <w:bCs/>
          <w:sz w:val="28"/>
          <w:szCs w:val="28"/>
        </w:rPr>
        <w:t xml:space="preserve"> Annual</w:t>
      </w:r>
      <w:r w:rsidR="0012446D" w:rsidRPr="0003525E">
        <w:rPr>
          <w:b/>
          <w:bCs/>
          <w:sz w:val="28"/>
          <w:szCs w:val="28"/>
        </w:rPr>
        <w:t xml:space="preserve"> Report</w:t>
      </w:r>
      <w:r w:rsidR="000B4115" w:rsidRPr="0003525E">
        <w:rPr>
          <w:b/>
          <w:bCs/>
          <w:sz w:val="28"/>
          <w:szCs w:val="28"/>
        </w:rPr>
        <w:t>, 202</w:t>
      </w:r>
      <w:r w:rsidR="000A1698">
        <w:rPr>
          <w:b/>
          <w:bCs/>
          <w:sz w:val="28"/>
          <w:szCs w:val="28"/>
        </w:rPr>
        <w:t>5</w:t>
      </w:r>
    </w:p>
    <w:p w14:paraId="5C3C34BC" w14:textId="77777777" w:rsidR="00CA16AD" w:rsidRDefault="00CA16AD" w:rsidP="00CA16AD">
      <w:pPr>
        <w:jc w:val="center"/>
        <w:rPr>
          <w:b/>
          <w:bCs/>
          <w:szCs w:val="24"/>
        </w:rPr>
      </w:pPr>
    </w:p>
    <w:p w14:paraId="15F07CBB" w14:textId="1F8615B3" w:rsidR="00CA16AD" w:rsidRDefault="00CA16AD" w:rsidP="001A5186">
      <w:pPr>
        <w:numPr>
          <w:ilvl w:val="0"/>
          <w:numId w:val="3"/>
        </w:numPr>
        <w:rPr>
          <w:b/>
          <w:bCs/>
          <w:color w:val="0070C0"/>
          <w:szCs w:val="24"/>
        </w:rPr>
      </w:pPr>
      <w:r w:rsidRPr="00CA16AD">
        <w:rPr>
          <w:b/>
          <w:bCs/>
          <w:color w:val="0070C0"/>
          <w:szCs w:val="24"/>
        </w:rPr>
        <w:t>Introduction and Background</w:t>
      </w:r>
    </w:p>
    <w:p w14:paraId="75FB42C6" w14:textId="77777777" w:rsidR="00850F11" w:rsidRPr="00CA16AD" w:rsidRDefault="00850F11" w:rsidP="00850F11">
      <w:pPr>
        <w:ind w:left="720"/>
        <w:rPr>
          <w:b/>
          <w:bCs/>
          <w:color w:val="0070C0"/>
          <w:szCs w:val="24"/>
        </w:rPr>
      </w:pPr>
    </w:p>
    <w:p w14:paraId="5EAC7AC6" w14:textId="4355A147" w:rsidR="00930F0F" w:rsidRDefault="00930F0F" w:rsidP="00930F0F">
      <w:pPr>
        <w:pStyle w:val="ListParagraph"/>
        <w:ind w:left="720"/>
        <w:rPr>
          <w:b w:val="0"/>
          <w:bCs/>
          <w:color w:val="auto"/>
          <w:szCs w:val="24"/>
        </w:rPr>
      </w:pPr>
      <w:r w:rsidRPr="00850F11">
        <w:rPr>
          <w:b w:val="0"/>
          <w:bCs/>
          <w:color w:val="auto"/>
          <w:szCs w:val="24"/>
        </w:rPr>
        <w:t xml:space="preserve">The Workforce </w:t>
      </w:r>
      <w:r>
        <w:rPr>
          <w:b w:val="0"/>
          <w:bCs/>
          <w:color w:val="auto"/>
          <w:szCs w:val="24"/>
        </w:rPr>
        <w:t>Race</w:t>
      </w:r>
      <w:r w:rsidRPr="00850F11">
        <w:rPr>
          <w:b w:val="0"/>
          <w:bCs/>
          <w:color w:val="auto"/>
          <w:szCs w:val="24"/>
        </w:rPr>
        <w:t xml:space="preserve"> Equality Standard (W</w:t>
      </w:r>
      <w:r>
        <w:rPr>
          <w:b w:val="0"/>
          <w:bCs/>
          <w:color w:val="auto"/>
          <w:szCs w:val="24"/>
        </w:rPr>
        <w:t>R</w:t>
      </w:r>
      <w:r w:rsidRPr="00850F11">
        <w:rPr>
          <w:b w:val="0"/>
          <w:bCs/>
          <w:color w:val="auto"/>
          <w:szCs w:val="24"/>
        </w:rPr>
        <w:t xml:space="preserve">ES) is a national annual reporting scheme which York and Scarborough Teaching Hospitals NHS Foundation Trust </w:t>
      </w:r>
      <w:r>
        <w:rPr>
          <w:b w:val="0"/>
          <w:bCs/>
          <w:color w:val="auto"/>
          <w:szCs w:val="24"/>
        </w:rPr>
        <w:t>and York Teaching Hospitals Facilities Management (YTHFM) are</w:t>
      </w:r>
      <w:r w:rsidRPr="00850F11">
        <w:rPr>
          <w:b w:val="0"/>
          <w:bCs/>
          <w:color w:val="auto"/>
          <w:szCs w:val="24"/>
        </w:rPr>
        <w:t xml:space="preserve"> required to comply with. </w:t>
      </w:r>
      <w:r>
        <w:rPr>
          <w:b w:val="0"/>
          <w:bCs/>
          <w:color w:val="auto"/>
          <w:szCs w:val="24"/>
        </w:rPr>
        <w:t>This is mandated in t</w:t>
      </w:r>
      <w:r w:rsidRPr="00850F11">
        <w:rPr>
          <w:b w:val="0"/>
          <w:bCs/>
          <w:color w:val="auto"/>
          <w:szCs w:val="24"/>
        </w:rPr>
        <w:t>he NHS Standard Contract</w:t>
      </w:r>
      <w:r>
        <w:rPr>
          <w:b w:val="0"/>
          <w:bCs/>
          <w:color w:val="auto"/>
          <w:szCs w:val="24"/>
        </w:rPr>
        <w:t>; organisations are required</w:t>
      </w:r>
      <w:r w:rsidRPr="00850F11">
        <w:rPr>
          <w:b w:val="0"/>
          <w:bCs/>
          <w:color w:val="auto"/>
          <w:szCs w:val="24"/>
        </w:rPr>
        <w:t xml:space="preserve"> to use this data to develop action plans aimed at improving the experiences of </w:t>
      </w:r>
      <w:r>
        <w:rPr>
          <w:b w:val="0"/>
          <w:bCs/>
          <w:color w:val="auto"/>
          <w:szCs w:val="24"/>
        </w:rPr>
        <w:t>Black and Minority Ethnic (BME) colleagues</w:t>
      </w:r>
      <w:r w:rsidRPr="00850F11">
        <w:rPr>
          <w:b w:val="0"/>
          <w:bCs/>
          <w:color w:val="auto"/>
          <w:szCs w:val="24"/>
        </w:rPr>
        <w:t xml:space="preserve">.  </w:t>
      </w:r>
      <w:r>
        <w:rPr>
          <w:b w:val="0"/>
          <w:bCs/>
          <w:color w:val="auto"/>
          <w:szCs w:val="24"/>
        </w:rPr>
        <w:t xml:space="preserve">This report and action plan is for both organisations. </w:t>
      </w:r>
    </w:p>
    <w:p w14:paraId="519530A6" w14:textId="673380BB" w:rsidR="00ED1B02" w:rsidRPr="00850F11" w:rsidRDefault="00ED1B02" w:rsidP="00A72FAD">
      <w:pPr>
        <w:pStyle w:val="ListParagraph"/>
        <w:ind w:left="720"/>
        <w:rPr>
          <w:bCs/>
          <w:szCs w:val="24"/>
        </w:rPr>
      </w:pPr>
    </w:p>
    <w:p w14:paraId="63782798" w14:textId="0DD83FFF" w:rsidR="00ED1B02" w:rsidRPr="00850F11" w:rsidRDefault="00ED1B02" w:rsidP="00ED1B02">
      <w:pPr>
        <w:pStyle w:val="ListParagraph"/>
        <w:ind w:left="720"/>
        <w:rPr>
          <w:b w:val="0"/>
          <w:bCs/>
          <w:color w:val="auto"/>
          <w:szCs w:val="24"/>
        </w:rPr>
      </w:pPr>
      <w:r w:rsidRPr="00850F11">
        <w:rPr>
          <w:b w:val="0"/>
          <w:bCs/>
          <w:color w:val="auto"/>
          <w:szCs w:val="24"/>
        </w:rPr>
        <w:t xml:space="preserve">The WRES covers 9 </w:t>
      </w:r>
      <w:r w:rsidR="00CC5021">
        <w:rPr>
          <w:b w:val="0"/>
          <w:bCs/>
          <w:color w:val="auto"/>
          <w:szCs w:val="24"/>
        </w:rPr>
        <w:t>Indicators/</w:t>
      </w:r>
      <w:r w:rsidRPr="00850F11">
        <w:rPr>
          <w:b w:val="0"/>
          <w:bCs/>
          <w:color w:val="auto"/>
          <w:szCs w:val="24"/>
        </w:rPr>
        <w:t>Metrics</w:t>
      </w:r>
      <w:r w:rsidR="00CC5021">
        <w:rPr>
          <w:b w:val="0"/>
          <w:bCs/>
          <w:color w:val="auto"/>
          <w:szCs w:val="24"/>
        </w:rPr>
        <w:t xml:space="preserve"> (used interchangeably)</w:t>
      </w:r>
      <w:r w:rsidRPr="00850F11">
        <w:rPr>
          <w:b w:val="0"/>
          <w:bCs/>
          <w:color w:val="auto"/>
          <w:szCs w:val="24"/>
        </w:rPr>
        <w:t xml:space="preserve"> regarding the career progression and work experiences of BME </w:t>
      </w:r>
      <w:r>
        <w:rPr>
          <w:b w:val="0"/>
          <w:bCs/>
          <w:color w:val="auto"/>
          <w:szCs w:val="24"/>
        </w:rPr>
        <w:t>colleagues</w:t>
      </w:r>
      <w:r w:rsidRPr="00850F11">
        <w:rPr>
          <w:b w:val="0"/>
          <w:bCs/>
          <w:color w:val="auto"/>
          <w:szCs w:val="24"/>
        </w:rPr>
        <w:t xml:space="preserve">.  The data </w:t>
      </w:r>
      <w:r>
        <w:rPr>
          <w:b w:val="0"/>
          <w:bCs/>
          <w:color w:val="auto"/>
          <w:szCs w:val="24"/>
        </w:rPr>
        <w:t>wa</w:t>
      </w:r>
      <w:r w:rsidRPr="00850F11">
        <w:rPr>
          <w:b w:val="0"/>
          <w:bCs/>
          <w:color w:val="auto"/>
          <w:szCs w:val="24"/>
        </w:rPr>
        <w:t>s collected for the period of 1 April 202</w:t>
      </w:r>
      <w:r w:rsidR="000A1698">
        <w:rPr>
          <w:b w:val="0"/>
          <w:bCs/>
          <w:color w:val="auto"/>
          <w:szCs w:val="24"/>
        </w:rPr>
        <w:t>4</w:t>
      </w:r>
      <w:r w:rsidRPr="00850F11">
        <w:rPr>
          <w:b w:val="0"/>
          <w:bCs/>
          <w:color w:val="auto"/>
          <w:szCs w:val="24"/>
        </w:rPr>
        <w:t>-31 March 202</w:t>
      </w:r>
      <w:r w:rsidR="000A1698">
        <w:rPr>
          <w:b w:val="0"/>
          <w:bCs/>
          <w:color w:val="auto"/>
          <w:szCs w:val="24"/>
        </w:rPr>
        <w:t>5</w:t>
      </w:r>
      <w:r w:rsidRPr="00850F11">
        <w:rPr>
          <w:b w:val="0"/>
          <w:bCs/>
          <w:color w:val="auto"/>
          <w:szCs w:val="24"/>
        </w:rPr>
        <w:t xml:space="preserve"> and is taken from the Electronic Staff Record (ESR) and the national Staff Survey</w:t>
      </w:r>
      <w:r w:rsidR="002865C2">
        <w:rPr>
          <w:b w:val="0"/>
          <w:bCs/>
          <w:color w:val="auto"/>
          <w:szCs w:val="24"/>
        </w:rPr>
        <w:t xml:space="preserve">. Where a metric dictates </w:t>
      </w:r>
      <w:r w:rsidR="00CE6A81">
        <w:rPr>
          <w:b w:val="0"/>
          <w:bCs/>
          <w:color w:val="auto"/>
          <w:szCs w:val="24"/>
        </w:rPr>
        <w:t>snapshot</w:t>
      </w:r>
      <w:r w:rsidR="00CE6A81" w:rsidRPr="00850F11">
        <w:rPr>
          <w:b w:val="0"/>
          <w:bCs/>
          <w:color w:val="auto"/>
          <w:szCs w:val="24"/>
        </w:rPr>
        <w:t xml:space="preserve"> data</w:t>
      </w:r>
      <w:r w:rsidR="002865C2">
        <w:rPr>
          <w:b w:val="0"/>
          <w:bCs/>
          <w:color w:val="auto"/>
          <w:szCs w:val="24"/>
        </w:rPr>
        <w:t>,</w:t>
      </w:r>
      <w:r w:rsidRPr="00850F11">
        <w:rPr>
          <w:b w:val="0"/>
          <w:bCs/>
          <w:color w:val="auto"/>
          <w:szCs w:val="24"/>
        </w:rPr>
        <w:t xml:space="preserve"> </w:t>
      </w:r>
      <w:r w:rsidR="002865C2">
        <w:rPr>
          <w:b w:val="0"/>
          <w:bCs/>
          <w:color w:val="auto"/>
          <w:szCs w:val="24"/>
        </w:rPr>
        <w:t>th</w:t>
      </w:r>
      <w:r w:rsidR="009D732C">
        <w:rPr>
          <w:b w:val="0"/>
          <w:bCs/>
          <w:color w:val="auto"/>
          <w:szCs w:val="24"/>
        </w:rPr>
        <w:t>is</w:t>
      </w:r>
      <w:r w:rsidR="002865C2">
        <w:rPr>
          <w:b w:val="0"/>
          <w:bCs/>
          <w:color w:val="auto"/>
          <w:szCs w:val="24"/>
        </w:rPr>
        <w:t xml:space="preserve"> is as</w:t>
      </w:r>
      <w:r w:rsidRPr="00850F11">
        <w:rPr>
          <w:b w:val="0"/>
          <w:bCs/>
          <w:color w:val="auto"/>
          <w:szCs w:val="24"/>
        </w:rPr>
        <w:t xml:space="preserve"> of 31 March 202</w:t>
      </w:r>
      <w:r w:rsidR="000A1698">
        <w:rPr>
          <w:b w:val="0"/>
          <w:bCs/>
          <w:color w:val="auto"/>
          <w:szCs w:val="24"/>
        </w:rPr>
        <w:t>5</w:t>
      </w:r>
      <w:r w:rsidRPr="00850F11">
        <w:rPr>
          <w:b w:val="0"/>
          <w:bCs/>
          <w:color w:val="auto"/>
          <w:szCs w:val="24"/>
        </w:rPr>
        <w:t>. The Staff Survey data is from the 202</w:t>
      </w:r>
      <w:r w:rsidR="000A1698">
        <w:rPr>
          <w:b w:val="0"/>
          <w:bCs/>
          <w:color w:val="auto"/>
          <w:szCs w:val="24"/>
        </w:rPr>
        <w:t>4</w:t>
      </w:r>
      <w:r w:rsidRPr="00850F11">
        <w:rPr>
          <w:b w:val="0"/>
          <w:bCs/>
          <w:color w:val="auto"/>
          <w:szCs w:val="24"/>
        </w:rPr>
        <w:t xml:space="preserve"> Staff Survey.</w:t>
      </w:r>
      <w:r w:rsidR="000E60A0">
        <w:rPr>
          <w:b w:val="0"/>
          <w:bCs/>
          <w:color w:val="auto"/>
          <w:szCs w:val="24"/>
        </w:rPr>
        <w:t xml:space="preserve"> </w:t>
      </w:r>
    </w:p>
    <w:p w14:paraId="53719391" w14:textId="119E50D9" w:rsidR="00850F11" w:rsidRPr="00850F11" w:rsidRDefault="00850F11" w:rsidP="00850F11">
      <w:pPr>
        <w:pStyle w:val="ListParagraph"/>
        <w:ind w:left="720"/>
        <w:rPr>
          <w:b w:val="0"/>
          <w:bCs/>
          <w:color w:val="auto"/>
          <w:szCs w:val="24"/>
        </w:rPr>
      </w:pPr>
    </w:p>
    <w:p w14:paraId="6AAB2BA0" w14:textId="4D179636" w:rsidR="00992C84" w:rsidRPr="00992C84" w:rsidRDefault="005566CB" w:rsidP="00850F11">
      <w:pPr>
        <w:pStyle w:val="ListParagraph"/>
        <w:ind w:left="720"/>
        <w:rPr>
          <w:bCs/>
          <w:szCs w:val="24"/>
        </w:rPr>
      </w:pPr>
      <w:r>
        <w:rPr>
          <w:bCs/>
          <w:szCs w:val="24"/>
        </w:rPr>
        <w:t>Considerations</w:t>
      </w:r>
    </w:p>
    <w:p w14:paraId="43B59009" w14:textId="5FB92253" w:rsidR="00CA16AD" w:rsidRDefault="00714657" w:rsidP="00CA16AD">
      <w:pPr>
        <w:rPr>
          <w:bCs/>
          <w:szCs w:val="24"/>
        </w:rPr>
      </w:pPr>
      <w:r>
        <w:rPr>
          <w:bCs/>
          <w:szCs w:val="24"/>
        </w:rPr>
        <w:tab/>
      </w:r>
    </w:p>
    <w:p w14:paraId="01AFEDA8" w14:textId="435BE3A5" w:rsidR="001D1F0F" w:rsidRPr="00B77D18" w:rsidRDefault="001D1F0F" w:rsidP="001D1F0F">
      <w:pPr>
        <w:pStyle w:val="ListParagraph"/>
        <w:ind w:left="720"/>
        <w:rPr>
          <w:b w:val="0"/>
          <w:bCs/>
          <w:color w:val="auto"/>
          <w:szCs w:val="24"/>
        </w:rPr>
      </w:pPr>
      <w:r w:rsidRPr="00B77D18">
        <w:rPr>
          <w:b w:val="0"/>
          <w:bCs/>
          <w:color w:val="auto"/>
          <w:szCs w:val="24"/>
        </w:rPr>
        <w:t xml:space="preserve">Metric 9 – YTHFM Director’s details </w:t>
      </w:r>
      <w:r w:rsidR="00B77D18">
        <w:rPr>
          <w:b w:val="0"/>
          <w:bCs/>
          <w:color w:val="auto"/>
          <w:szCs w:val="24"/>
        </w:rPr>
        <w:t>we</w:t>
      </w:r>
      <w:r w:rsidRPr="00B77D18">
        <w:rPr>
          <w:b w:val="0"/>
          <w:bCs/>
          <w:color w:val="auto"/>
          <w:szCs w:val="24"/>
        </w:rPr>
        <w:t xml:space="preserve">re not recorded on the Electronic Staff Record </w:t>
      </w:r>
      <w:r w:rsidR="008844CF">
        <w:rPr>
          <w:b w:val="0"/>
          <w:bCs/>
          <w:color w:val="auto"/>
          <w:szCs w:val="24"/>
        </w:rPr>
        <w:t>(</w:t>
      </w:r>
      <w:r w:rsidRPr="00B77D18">
        <w:rPr>
          <w:b w:val="0"/>
          <w:bCs/>
          <w:color w:val="auto"/>
          <w:szCs w:val="24"/>
        </w:rPr>
        <w:t>ESR</w:t>
      </w:r>
      <w:r w:rsidR="008844CF">
        <w:rPr>
          <w:b w:val="0"/>
          <w:bCs/>
          <w:color w:val="auto"/>
          <w:szCs w:val="24"/>
        </w:rPr>
        <w:t>)</w:t>
      </w:r>
      <w:r w:rsidR="00B77D18">
        <w:rPr>
          <w:b w:val="0"/>
          <w:bCs/>
          <w:color w:val="auto"/>
          <w:szCs w:val="24"/>
        </w:rPr>
        <w:t xml:space="preserve"> due to the previous incumbent being contracted.</w:t>
      </w:r>
      <w:r w:rsidRPr="00B77D18">
        <w:rPr>
          <w:b w:val="0"/>
          <w:bCs/>
          <w:color w:val="auto"/>
          <w:szCs w:val="24"/>
        </w:rPr>
        <w:t xml:space="preserve"> </w:t>
      </w:r>
      <w:r w:rsidR="00B77D18">
        <w:rPr>
          <w:b w:val="0"/>
          <w:bCs/>
          <w:color w:val="auto"/>
          <w:szCs w:val="24"/>
        </w:rPr>
        <w:t>T</w:t>
      </w:r>
      <w:r w:rsidRPr="00B77D18">
        <w:rPr>
          <w:b w:val="0"/>
          <w:bCs/>
          <w:color w:val="auto"/>
          <w:szCs w:val="24"/>
        </w:rPr>
        <w:t>herefore, they are not included in the data for this metric.</w:t>
      </w:r>
    </w:p>
    <w:p w14:paraId="4871FC14" w14:textId="77777777" w:rsidR="00C84E5C" w:rsidRDefault="00C84E5C" w:rsidP="00CA16AD"/>
    <w:p w14:paraId="529D0B6E" w14:textId="07A1E1DA" w:rsidR="00C84E5C" w:rsidRPr="00C84E5C" w:rsidRDefault="00C84E5C" w:rsidP="00C84E5C">
      <w:pPr>
        <w:ind w:left="709"/>
      </w:pPr>
      <w:r>
        <w:t>The relative likelihood focuses on a figure of 1 being equity of opportunity. T</w:t>
      </w:r>
      <w:r w:rsidRPr="00C84E5C">
        <w:t>he non-adverse range of 0.8-1.25.</w:t>
      </w:r>
    </w:p>
    <w:p w14:paraId="64AD8C99" w14:textId="6DCC6309" w:rsidR="00C84E5C" w:rsidRDefault="00C84E5C" w:rsidP="00C84E5C">
      <w:pPr>
        <w:ind w:firstLine="709"/>
      </w:pPr>
    </w:p>
    <w:p w14:paraId="04191F86" w14:textId="06D22371" w:rsidR="00CC5021" w:rsidRDefault="00E852FD" w:rsidP="00CC5021">
      <w:pPr>
        <w:pStyle w:val="BodyTextIndent3"/>
        <w:tabs>
          <w:tab w:val="left" w:pos="709"/>
        </w:tabs>
        <w:ind w:left="709"/>
        <w:jc w:val="left"/>
        <w:rPr>
          <w:sz w:val="24"/>
        </w:rPr>
      </w:pPr>
      <w:r w:rsidRPr="00BB7B6C">
        <w:rPr>
          <w:sz w:val="24"/>
        </w:rPr>
        <w:t>NHS England produce</w:t>
      </w:r>
      <w:r>
        <w:rPr>
          <w:sz w:val="24"/>
        </w:rPr>
        <w:t>d</w:t>
      </w:r>
      <w:r w:rsidRPr="00BB7B6C">
        <w:rPr>
          <w:sz w:val="24"/>
        </w:rPr>
        <w:t xml:space="preserve"> a</w:t>
      </w:r>
      <w:r>
        <w:rPr>
          <w:sz w:val="24"/>
        </w:rPr>
        <w:t xml:space="preserve"> 2023/2024</w:t>
      </w:r>
      <w:r w:rsidRPr="00BB7B6C">
        <w:rPr>
          <w:sz w:val="24"/>
        </w:rPr>
        <w:t xml:space="preserve"> summary report for </w:t>
      </w:r>
      <w:r>
        <w:rPr>
          <w:sz w:val="24"/>
        </w:rPr>
        <w:t xml:space="preserve">the </w:t>
      </w:r>
      <w:r w:rsidRPr="00BB7B6C">
        <w:rPr>
          <w:sz w:val="24"/>
        </w:rPr>
        <w:t>Trust, which provide</w:t>
      </w:r>
      <w:r>
        <w:rPr>
          <w:sz w:val="24"/>
        </w:rPr>
        <w:t>d</w:t>
      </w:r>
      <w:r w:rsidRPr="00BB7B6C">
        <w:rPr>
          <w:sz w:val="24"/>
        </w:rPr>
        <w:t xml:space="preserve"> an analysis of the data by Trust, region </w:t>
      </w:r>
      <w:r w:rsidR="00CC5021">
        <w:rPr>
          <w:sz w:val="24"/>
        </w:rPr>
        <w:t>sector,</w:t>
      </w:r>
      <w:r w:rsidR="00CC5021" w:rsidRPr="00BB7B6C">
        <w:rPr>
          <w:sz w:val="24"/>
        </w:rPr>
        <w:t xml:space="preserve"> nationally</w:t>
      </w:r>
      <w:r w:rsidR="00CC5021">
        <w:rPr>
          <w:sz w:val="24"/>
        </w:rPr>
        <w:t xml:space="preserve"> and rank</w:t>
      </w:r>
      <w:r w:rsidRPr="00BB7B6C">
        <w:rPr>
          <w:sz w:val="24"/>
        </w:rPr>
        <w:t xml:space="preserve">.  </w:t>
      </w:r>
      <w:r w:rsidR="00CC5021">
        <w:rPr>
          <w:sz w:val="24"/>
        </w:rPr>
        <w:t xml:space="preserve">The tables </w:t>
      </w:r>
      <w:r w:rsidR="007B58A9">
        <w:rPr>
          <w:sz w:val="24"/>
        </w:rPr>
        <w:t>can be</w:t>
      </w:r>
      <w:r w:rsidR="00CE6A81">
        <w:rPr>
          <w:sz w:val="24"/>
        </w:rPr>
        <w:t xml:space="preserve"> found in Appendix 3.</w:t>
      </w:r>
    </w:p>
    <w:p w14:paraId="0CF8B026" w14:textId="77777777" w:rsidR="00CE6A81" w:rsidRDefault="00CE6A81" w:rsidP="00CC5021">
      <w:pPr>
        <w:pStyle w:val="BodyTextIndent3"/>
        <w:tabs>
          <w:tab w:val="left" w:pos="709"/>
        </w:tabs>
        <w:ind w:left="709"/>
        <w:jc w:val="left"/>
        <w:rPr>
          <w:iCs/>
          <w:color w:val="000000"/>
          <w:sz w:val="24"/>
        </w:rPr>
      </w:pPr>
    </w:p>
    <w:p w14:paraId="029B7C13" w14:textId="6A41006B" w:rsidR="00E20932" w:rsidRPr="00973C3A" w:rsidRDefault="00E20932" w:rsidP="00E20932">
      <w:pPr>
        <w:pStyle w:val="ListParagraph"/>
        <w:ind w:left="720"/>
        <w:rPr>
          <w:b w:val="0"/>
          <w:color w:val="auto"/>
          <w:szCs w:val="24"/>
        </w:rPr>
      </w:pPr>
      <w:bookmarkStart w:id="0" w:name="_Hlk209690631"/>
      <w:r w:rsidRPr="00973C3A">
        <w:rPr>
          <w:b w:val="0"/>
          <w:color w:val="auto"/>
          <w:szCs w:val="24"/>
        </w:rPr>
        <w:t>Th</w:t>
      </w:r>
      <w:r>
        <w:rPr>
          <w:b w:val="0"/>
          <w:color w:val="auto"/>
          <w:szCs w:val="24"/>
        </w:rPr>
        <w:t>e</w:t>
      </w:r>
      <w:r w:rsidRPr="00973C3A">
        <w:rPr>
          <w:b w:val="0"/>
          <w:color w:val="auto"/>
          <w:szCs w:val="24"/>
        </w:rPr>
        <w:t xml:space="preserve"> 2023/24 </w:t>
      </w:r>
      <w:r>
        <w:rPr>
          <w:b w:val="0"/>
          <w:color w:val="auto"/>
          <w:szCs w:val="24"/>
        </w:rPr>
        <w:t xml:space="preserve">summary </w:t>
      </w:r>
      <w:r w:rsidRPr="00973C3A">
        <w:rPr>
          <w:b w:val="0"/>
          <w:color w:val="auto"/>
          <w:szCs w:val="24"/>
        </w:rPr>
        <w:t>report stated the high priority areas for improvement for the Trust (to a maximum of three) as:</w:t>
      </w:r>
    </w:p>
    <w:bookmarkEnd w:id="0"/>
    <w:p w14:paraId="21F3A771" w14:textId="77777777" w:rsidR="00E20932" w:rsidRPr="00973C3A" w:rsidRDefault="00E20932" w:rsidP="00E20932">
      <w:pPr>
        <w:pStyle w:val="ListParagraph"/>
        <w:ind w:left="720"/>
        <w:rPr>
          <w:b w:val="0"/>
          <w:color w:val="auto"/>
          <w:szCs w:val="24"/>
        </w:rPr>
      </w:pPr>
    </w:p>
    <w:p w14:paraId="003F0911" w14:textId="186CCEB5" w:rsidR="00E20932" w:rsidRPr="00F61FBE" w:rsidRDefault="00E20932" w:rsidP="00E20932">
      <w:pPr>
        <w:pStyle w:val="ListParagraph"/>
        <w:numPr>
          <w:ilvl w:val="0"/>
          <w:numId w:val="27"/>
        </w:numPr>
        <w:rPr>
          <w:b w:val="0"/>
          <w:bCs/>
          <w:color w:val="auto"/>
          <w:szCs w:val="24"/>
        </w:rPr>
      </w:pPr>
      <w:r>
        <w:rPr>
          <w:b w:val="0"/>
          <w:color w:val="auto"/>
          <w:szCs w:val="24"/>
        </w:rPr>
        <w:t xml:space="preserve">Indicator 6: harassment, bullying or abuse from staff </w:t>
      </w:r>
      <w:r w:rsidRPr="00157644">
        <w:rPr>
          <w:b w:val="0"/>
          <w:color w:val="auto"/>
          <w:szCs w:val="24"/>
        </w:rPr>
        <w:t>in the last 12 months</w:t>
      </w:r>
      <w:r>
        <w:rPr>
          <w:b w:val="0"/>
          <w:color w:val="auto"/>
          <w:szCs w:val="24"/>
        </w:rPr>
        <w:t xml:space="preserve"> against BME staff (marginal improvement in 2025)</w:t>
      </w:r>
      <w:r w:rsidR="009D732C">
        <w:rPr>
          <w:b w:val="0"/>
          <w:color w:val="auto"/>
          <w:szCs w:val="24"/>
        </w:rPr>
        <w:t>.</w:t>
      </w:r>
    </w:p>
    <w:p w14:paraId="0D4B6E8D" w14:textId="58B8E7F4" w:rsidR="00E20932" w:rsidRDefault="00E20932" w:rsidP="00E20932">
      <w:pPr>
        <w:pStyle w:val="ListParagraph"/>
        <w:numPr>
          <w:ilvl w:val="0"/>
          <w:numId w:val="27"/>
        </w:numPr>
        <w:rPr>
          <w:b w:val="0"/>
          <w:bCs/>
          <w:color w:val="auto"/>
          <w:szCs w:val="24"/>
        </w:rPr>
      </w:pPr>
      <w:r w:rsidRPr="00F61FBE">
        <w:rPr>
          <w:b w:val="0"/>
          <w:bCs/>
          <w:color w:val="auto"/>
          <w:szCs w:val="24"/>
        </w:rPr>
        <w:t>Indicator 7: belief that the trust provides equal opportunities for career progression or promotion</w:t>
      </w:r>
      <w:r w:rsidR="009B1B4B">
        <w:rPr>
          <w:b w:val="0"/>
          <w:bCs/>
          <w:color w:val="auto"/>
          <w:szCs w:val="24"/>
        </w:rPr>
        <w:t>.</w:t>
      </w:r>
    </w:p>
    <w:p w14:paraId="5563A021" w14:textId="4024CB27" w:rsidR="000C6CFC" w:rsidRPr="00F70636" w:rsidRDefault="000C6CFC" w:rsidP="00F70636">
      <w:pPr>
        <w:pStyle w:val="ListParagraph"/>
        <w:numPr>
          <w:ilvl w:val="0"/>
          <w:numId w:val="27"/>
        </w:numPr>
        <w:rPr>
          <w:b w:val="0"/>
          <w:bCs/>
          <w:color w:val="auto"/>
          <w:szCs w:val="24"/>
        </w:rPr>
      </w:pPr>
      <w:r>
        <w:rPr>
          <w:b w:val="0"/>
          <w:color w:val="auto"/>
          <w:szCs w:val="24"/>
        </w:rPr>
        <w:t>Indicator 8: discrimination from a manager/team leader or other colleagues in the last 12 months against BME staff.</w:t>
      </w:r>
    </w:p>
    <w:p w14:paraId="21DCD27F" w14:textId="77777777" w:rsidR="00E20932" w:rsidRPr="00F61FBE" w:rsidRDefault="00E20932" w:rsidP="00E20932">
      <w:pPr>
        <w:pStyle w:val="ListParagraph"/>
        <w:ind w:left="1080"/>
        <w:rPr>
          <w:b w:val="0"/>
          <w:bCs/>
          <w:color w:val="auto"/>
          <w:szCs w:val="24"/>
        </w:rPr>
      </w:pPr>
    </w:p>
    <w:p w14:paraId="2F8407A1" w14:textId="77777777" w:rsidR="00E20932" w:rsidRDefault="00E20932" w:rsidP="00E20932">
      <w:pPr>
        <w:ind w:left="720"/>
        <w:rPr>
          <w:bCs/>
          <w:szCs w:val="24"/>
        </w:rPr>
      </w:pPr>
      <w:r w:rsidRPr="00973C3A">
        <w:rPr>
          <w:bCs/>
          <w:szCs w:val="24"/>
        </w:rPr>
        <w:t xml:space="preserve">The Area of best performance within the Trust (to a maximum of three): </w:t>
      </w:r>
      <w:r>
        <w:rPr>
          <w:bCs/>
          <w:szCs w:val="24"/>
        </w:rPr>
        <w:t>no areas of best performance.</w:t>
      </w:r>
    </w:p>
    <w:p w14:paraId="396C3108" w14:textId="77777777" w:rsidR="009142C0" w:rsidRDefault="009142C0" w:rsidP="00E20932">
      <w:pPr>
        <w:ind w:left="720"/>
        <w:rPr>
          <w:bCs/>
          <w:szCs w:val="24"/>
        </w:rPr>
      </w:pPr>
    </w:p>
    <w:p w14:paraId="0A5F03BC" w14:textId="77777777" w:rsidR="009142C0" w:rsidRDefault="009142C0" w:rsidP="00E20932">
      <w:pPr>
        <w:ind w:left="720"/>
        <w:rPr>
          <w:bCs/>
          <w:szCs w:val="24"/>
        </w:rPr>
      </w:pPr>
    </w:p>
    <w:p w14:paraId="113E57FC" w14:textId="77777777" w:rsidR="009142C0" w:rsidRPr="00973C3A" w:rsidRDefault="009142C0" w:rsidP="00E20932">
      <w:pPr>
        <w:ind w:left="720"/>
        <w:rPr>
          <w:bCs/>
          <w:szCs w:val="24"/>
        </w:rPr>
      </w:pPr>
    </w:p>
    <w:p w14:paraId="2D258B6D" w14:textId="35764FAA" w:rsidR="00E852FD" w:rsidRDefault="00E852FD" w:rsidP="00CC5021">
      <w:pPr>
        <w:pStyle w:val="BodyTextIndent3"/>
        <w:tabs>
          <w:tab w:val="left" w:pos="709"/>
        </w:tabs>
        <w:ind w:left="709"/>
        <w:jc w:val="left"/>
        <w:rPr>
          <w:iCs/>
          <w:color w:val="000000"/>
          <w:sz w:val="24"/>
        </w:rPr>
      </w:pPr>
    </w:p>
    <w:p w14:paraId="3FC80119" w14:textId="5151AB25" w:rsidR="00992C84" w:rsidRPr="00B61153" w:rsidRDefault="00850F11" w:rsidP="001B40FF">
      <w:pPr>
        <w:rPr>
          <w:b/>
          <w:bCs/>
          <w:color w:val="0072C6"/>
        </w:rPr>
      </w:pPr>
      <w:r>
        <w:rPr>
          <w:bCs/>
          <w:szCs w:val="24"/>
        </w:rPr>
        <w:lastRenderedPageBreak/>
        <w:tab/>
      </w:r>
      <w:r w:rsidR="00CB6A86">
        <w:rPr>
          <w:b/>
          <w:bCs/>
          <w:color w:val="0072C6"/>
        </w:rPr>
        <w:t>Summary of Findings</w:t>
      </w:r>
    </w:p>
    <w:p w14:paraId="74D3BC73" w14:textId="749FD45B" w:rsidR="00FC2091" w:rsidRDefault="00B61153" w:rsidP="00FC2091">
      <w:pPr>
        <w:pStyle w:val="BodyTextIndent3"/>
        <w:tabs>
          <w:tab w:val="left" w:pos="709"/>
        </w:tabs>
        <w:ind w:left="0"/>
        <w:jc w:val="left"/>
        <w:rPr>
          <w:iCs/>
          <w:color w:val="000000"/>
          <w:sz w:val="24"/>
        </w:rPr>
      </w:pPr>
      <w:r>
        <w:rPr>
          <w:iCs/>
          <w:color w:val="000000"/>
          <w:sz w:val="24"/>
        </w:rPr>
        <w:tab/>
      </w:r>
    </w:p>
    <w:p w14:paraId="4314D409" w14:textId="2D70B58C" w:rsidR="00143214" w:rsidRDefault="00556AA5" w:rsidP="00143214">
      <w:pPr>
        <w:pStyle w:val="BodyTextIndent3"/>
        <w:tabs>
          <w:tab w:val="left" w:pos="709"/>
        </w:tabs>
        <w:ind w:left="709"/>
        <w:jc w:val="left"/>
        <w:rPr>
          <w:iCs/>
          <w:color w:val="000000"/>
          <w:sz w:val="24"/>
        </w:rPr>
      </w:pPr>
      <w:bookmarkStart w:id="1" w:name="_Hlk193799689"/>
      <w:r>
        <w:rPr>
          <w:iCs/>
          <w:color w:val="000000"/>
          <w:sz w:val="24"/>
        </w:rPr>
        <w:t>This report provides the results of the Trust’s 2025 data analysis</w:t>
      </w:r>
      <w:r w:rsidR="00870AB4">
        <w:rPr>
          <w:iCs/>
          <w:color w:val="000000"/>
          <w:sz w:val="24"/>
        </w:rPr>
        <w:t>, which is in the format of an Infographic found at Appendix 1</w:t>
      </w:r>
      <w:r>
        <w:rPr>
          <w:iCs/>
          <w:color w:val="000000"/>
          <w:sz w:val="24"/>
        </w:rPr>
        <w:t xml:space="preserve"> and, for comparison, the North East and Yorkshire’s 2023/24 summary report</w:t>
      </w:r>
      <w:r w:rsidR="00E27427">
        <w:rPr>
          <w:iCs/>
          <w:color w:val="000000"/>
          <w:sz w:val="24"/>
        </w:rPr>
        <w:t>, (Appendix 3).</w:t>
      </w:r>
      <w:r>
        <w:rPr>
          <w:iCs/>
          <w:color w:val="000000"/>
          <w:sz w:val="24"/>
        </w:rPr>
        <w:t xml:space="preserve"> </w:t>
      </w:r>
      <w:bookmarkStart w:id="2" w:name="_Hlk205388423"/>
      <w:r w:rsidR="00870AB4">
        <w:rPr>
          <w:iCs/>
          <w:color w:val="000000"/>
          <w:sz w:val="24"/>
        </w:rPr>
        <w:t>The co-created</w:t>
      </w:r>
      <w:r>
        <w:rPr>
          <w:iCs/>
          <w:color w:val="000000"/>
          <w:sz w:val="24"/>
        </w:rPr>
        <w:t xml:space="preserve"> 202</w:t>
      </w:r>
      <w:r w:rsidR="00870AB4">
        <w:rPr>
          <w:iCs/>
          <w:color w:val="000000"/>
          <w:sz w:val="24"/>
        </w:rPr>
        <w:t>5</w:t>
      </w:r>
      <w:r>
        <w:rPr>
          <w:iCs/>
          <w:color w:val="000000"/>
          <w:sz w:val="24"/>
        </w:rPr>
        <w:t>-</w:t>
      </w:r>
      <w:r w:rsidR="0084459A">
        <w:rPr>
          <w:iCs/>
          <w:color w:val="000000"/>
          <w:sz w:val="24"/>
        </w:rPr>
        <w:t>20</w:t>
      </w:r>
      <w:r>
        <w:rPr>
          <w:iCs/>
          <w:color w:val="000000"/>
          <w:sz w:val="24"/>
        </w:rPr>
        <w:t>2</w:t>
      </w:r>
      <w:r w:rsidR="00870AB4">
        <w:rPr>
          <w:iCs/>
          <w:color w:val="000000"/>
          <w:sz w:val="24"/>
        </w:rPr>
        <w:t>7</w:t>
      </w:r>
      <w:r>
        <w:rPr>
          <w:iCs/>
          <w:color w:val="000000"/>
          <w:sz w:val="24"/>
        </w:rPr>
        <w:t xml:space="preserve"> action plan</w:t>
      </w:r>
      <w:r w:rsidR="00870AB4">
        <w:rPr>
          <w:iCs/>
          <w:color w:val="000000"/>
          <w:sz w:val="24"/>
        </w:rPr>
        <w:t>,</w:t>
      </w:r>
      <w:r>
        <w:rPr>
          <w:iCs/>
          <w:color w:val="000000"/>
          <w:sz w:val="24"/>
        </w:rPr>
        <w:t xml:space="preserve"> is </w:t>
      </w:r>
      <w:r w:rsidR="00870AB4">
        <w:rPr>
          <w:iCs/>
          <w:color w:val="000000"/>
          <w:sz w:val="24"/>
        </w:rPr>
        <w:t>at Appendix 2</w:t>
      </w:r>
      <w:r>
        <w:rPr>
          <w:iCs/>
          <w:color w:val="000000"/>
          <w:sz w:val="24"/>
        </w:rPr>
        <w:t>.</w:t>
      </w:r>
      <w:r w:rsidR="00143214">
        <w:rPr>
          <w:iCs/>
          <w:color w:val="000000"/>
          <w:sz w:val="24"/>
        </w:rPr>
        <w:t xml:space="preserve"> It is recommended that Appendix 1 is read in conjunction with the summary report.</w:t>
      </w:r>
    </w:p>
    <w:p w14:paraId="6BA90D64" w14:textId="77777777" w:rsidR="008D45B4" w:rsidRDefault="008D45B4" w:rsidP="00143214">
      <w:pPr>
        <w:pStyle w:val="BodyTextIndent3"/>
        <w:tabs>
          <w:tab w:val="left" w:pos="709"/>
        </w:tabs>
        <w:ind w:left="709"/>
        <w:jc w:val="left"/>
        <w:rPr>
          <w:iCs/>
          <w:color w:val="000000"/>
          <w:sz w:val="24"/>
        </w:rPr>
      </w:pPr>
    </w:p>
    <w:bookmarkEnd w:id="2"/>
    <w:p w14:paraId="204ECCCD" w14:textId="77777777" w:rsidR="00187AD1" w:rsidRDefault="00187AD1" w:rsidP="00187AD1">
      <w:pPr>
        <w:pStyle w:val="BodyTextIndent3"/>
        <w:tabs>
          <w:tab w:val="left" w:pos="709"/>
        </w:tabs>
        <w:ind w:left="709"/>
        <w:jc w:val="left"/>
        <w:rPr>
          <w:iCs/>
          <w:color w:val="000000"/>
          <w:sz w:val="24"/>
        </w:rPr>
      </w:pPr>
      <w:r>
        <w:rPr>
          <w:iCs/>
          <w:color w:val="000000"/>
          <w:sz w:val="24"/>
        </w:rPr>
        <w:t>The 2025 WRES data shows that:</w:t>
      </w:r>
    </w:p>
    <w:p w14:paraId="0A1397B0" w14:textId="77777777" w:rsidR="00187AD1" w:rsidRDefault="00187AD1" w:rsidP="00187AD1">
      <w:pPr>
        <w:pStyle w:val="BodyTextIndent3"/>
        <w:tabs>
          <w:tab w:val="left" w:pos="709"/>
        </w:tabs>
        <w:ind w:left="709"/>
        <w:jc w:val="left"/>
        <w:rPr>
          <w:iCs/>
          <w:color w:val="000000"/>
          <w:sz w:val="24"/>
        </w:rPr>
      </w:pPr>
    </w:p>
    <w:p w14:paraId="2CAEEBCB" w14:textId="4B705A9E" w:rsidR="00187AD1" w:rsidRDefault="00187AD1" w:rsidP="00187AD1">
      <w:pPr>
        <w:pStyle w:val="BodyTextIndent3"/>
        <w:numPr>
          <w:ilvl w:val="0"/>
          <w:numId w:val="28"/>
        </w:numPr>
        <w:tabs>
          <w:tab w:val="left" w:pos="709"/>
        </w:tabs>
        <w:jc w:val="left"/>
        <w:rPr>
          <w:iCs/>
          <w:color w:val="000000"/>
          <w:sz w:val="24"/>
        </w:rPr>
      </w:pPr>
      <w:r>
        <w:rPr>
          <w:iCs/>
          <w:color w:val="000000"/>
          <w:sz w:val="24"/>
        </w:rPr>
        <w:t xml:space="preserve">The percentage of BME staff has increased from 15.46% in 2024 to 17.92% in 2025. </w:t>
      </w:r>
      <w:r w:rsidR="009B41C1" w:rsidRPr="009B41C1">
        <w:rPr>
          <w:sz w:val="24"/>
        </w:rPr>
        <w:t>Growth is consistent across all staff groups</w:t>
      </w:r>
      <w:r w:rsidR="009B41C1">
        <w:rPr>
          <w:sz w:val="24"/>
        </w:rPr>
        <w:t>.</w:t>
      </w:r>
    </w:p>
    <w:p w14:paraId="4D988EB5" w14:textId="52AAC898" w:rsidR="00187AD1" w:rsidRDefault="00187AD1" w:rsidP="00187AD1">
      <w:pPr>
        <w:pStyle w:val="BodyTextIndent3"/>
        <w:numPr>
          <w:ilvl w:val="0"/>
          <w:numId w:val="28"/>
        </w:numPr>
        <w:tabs>
          <w:tab w:val="left" w:pos="709"/>
        </w:tabs>
        <w:jc w:val="left"/>
        <w:rPr>
          <w:iCs/>
          <w:color w:val="000000"/>
          <w:sz w:val="24"/>
        </w:rPr>
      </w:pPr>
      <w:r w:rsidRPr="00193DAA">
        <w:rPr>
          <w:iCs/>
          <w:color w:val="000000"/>
          <w:sz w:val="24"/>
        </w:rPr>
        <w:t xml:space="preserve">Relative likelihood of white staff being appointed from </w:t>
      </w:r>
      <w:r>
        <w:rPr>
          <w:iCs/>
          <w:color w:val="000000"/>
          <w:sz w:val="24"/>
        </w:rPr>
        <w:t>s</w:t>
      </w:r>
      <w:r w:rsidRPr="00193DAA">
        <w:rPr>
          <w:iCs/>
          <w:color w:val="000000"/>
          <w:sz w:val="24"/>
        </w:rPr>
        <w:t>hortlisting compared to BME staff</w:t>
      </w:r>
      <w:r>
        <w:rPr>
          <w:iCs/>
          <w:color w:val="000000"/>
          <w:sz w:val="24"/>
        </w:rPr>
        <w:t xml:space="preserve"> has seen a deterioration in relation to the experience of BME staff. </w:t>
      </w:r>
      <w:r w:rsidR="001F3683">
        <w:rPr>
          <w:iCs/>
          <w:color w:val="000000"/>
          <w:sz w:val="24"/>
        </w:rPr>
        <w:t>(2.33 in 2024 to 2.54 in 2025).</w:t>
      </w:r>
    </w:p>
    <w:p w14:paraId="70A785ED" w14:textId="657C2467" w:rsidR="00187AD1" w:rsidRDefault="00187AD1" w:rsidP="00187AD1">
      <w:pPr>
        <w:pStyle w:val="BodyTextIndent3"/>
        <w:numPr>
          <w:ilvl w:val="0"/>
          <w:numId w:val="28"/>
        </w:numPr>
        <w:tabs>
          <w:tab w:val="left" w:pos="709"/>
        </w:tabs>
        <w:jc w:val="left"/>
        <w:rPr>
          <w:iCs/>
          <w:color w:val="000000"/>
          <w:sz w:val="24"/>
        </w:rPr>
      </w:pPr>
      <w:r w:rsidRPr="00315A2F">
        <w:rPr>
          <w:iCs/>
          <w:color w:val="000000"/>
          <w:sz w:val="24"/>
        </w:rPr>
        <w:t>Relative likelihood of BME staff entering the formal disciplinary process compared to white staff</w:t>
      </w:r>
      <w:r>
        <w:rPr>
          <w:iCs/>
          <w:color w:val="000000"/>
          <w:sz w:val="24"/>
        </w:rPr>
        <w:t xml:space="preserve"> has deteriorated. </w:t>
      </w:r>
      <w:r w:rsidR="001F3683">
        <w:rPr>
          <w:iCs/>
          <w:color w:val="000000"/>
          <w:sz w:val="24"/>
        </w:rPr>
        <w:t>(1.25 in 2024 to 1.30 in 2025).</w:t>
      </w:r>
    </w:p>
    <w:p w14:paraId="65C9BC92" w14:textId="3FBAA372" w:rsidR="00187AD1" w:rsidRDefault="00187AD1" w:rsidP="00187AD1">
      <w:pPr>
        <w:pStyle w:val="BodyTextIndent3"/>
        <w:numPr>
          <w:ilvl w:val="0"/>
          <w:numId w:val="28"/>
        </w:numPr>
        <w:tabs>
          <w:tab w:val="left" w:pos="709"/>
        </w:tabs>
        <w:jc w:val="left"/>
        <w:rPr>
          <w:iCs/>
          <w:color w:val="000000"/>
          <w:sz w:val="24"/>
        </w:rPr>
      </w:pPr>
      <w:r w:rsidRPr="006001E3">
        <w:rPr>
          <w:iCs/>
          <w:color w:val="000000"/>
          <w:sz w:val="24"/>
        </w:rPr>
        <w:t>Relative likelihood of white staff accessing non-mandatory training and CPD compared to BME staff</w:t>
      </w:r>
      <w:r>
        <w:rPr>
          <w:iCs/>
          <w:color w:val="000000"/>
          <w:sz w:val="24"/>
        </w:rPr>
        <w:t xml:space="preserve"> </w:t>
      </w:r>
      <w:r w:rsidR="00AD0C8C">
        <w:rPr>
          <w:iCs/>
          <w:color w:val="000000"/>
          <w:sz w:val="24"/>
        </w:rPr>
        <w:t>is equitable</w:t>
      </w:r>
      <w:r>
        <w:rPr>
          <w:iCs/>
          <w:color w:val="000000"/>
          <w:sz w:val="24"/>
        </w:rPr>
        <w:t xml:space="preserve"> in relation to the experience of BME staff.</w:t>
      </w:r>
      <w:r w:rsidR="001F3683">
        <w:rPr>
          <w:iCs/>
          <w:color w:val="000000"/>
          <w:sz w:val="24"/>
        </w:rPr>
        <w:t xml:space="preserve"> (0.57 in 2024 to 0.77 in 2025).</w:t>
      </w:r>
      <w:r>
        <w:rPr>
          <w:iCs/>
          <w:color w:val="000000"/>
          <w:sz w:val="24"/>
        </w:rPr>
        <w:t xml:space="preserve"> </w:t>
      </w:r>
    </w:p>
    <w:p w14:paraId="07542767" w14:textId="64F69E7E" w:rsidR="00187AD1" w:rsidRDefault="00187AD1" w:rsidP="00187AD1">
      <w:pPr>
        <w:pStyle w:val="BodyTextIndent3"/>
        <w:numPr>
          <w:ilvl w:val="0"/>
          <w:numId w:val="28"/>
        </w:numPr>
        <w:tabs>
          <w:tab w:val="left" w:pos="709"/>
        </w:tabs>
        <w:jc w:val="left"/>
        <w:rPr>
          <w:iCs/>
          <w:color w:val="000000"/>
          <w:sz w:val="24"/>
        </w:rPr>
      </w:pPr>
      <w:r>
        <w:rPr>
          <w:iCs/>
          <w:color w:val="000000"/>
          <w:sz w:val="24"/>
        </w:rPr>
        <w:t xml:space="preserve">The percentage </w:t>
      </w:r>
      <w:r w:rsidRPr="00D21CA5">
        <w:rPr>
          <w:iCs/>
          <w:color w:val="000000"/>
          <w:sz w:val="24"/>
        </w:rPr>
        <w:t xml:space="preserve">of </w:t>
      </w:r>
      <w:r>
        <w:rPr>
          <w:iCs/>
          <w:color w:val="000000"/>
          <w:sz w:val="24"/>
        </w:rPr>
        <w:t xml:space="preserve">BME </w:t>
      </w:r>
      <w:r w:rsidRPr="00D21CA5">
        <w:rPr>
          <w:iCs/>
          <w:color w:val="000000"/>
          <w:sz w:val="24"/>
        </w:rPr>
        <w:t>staff experiencing harassment, bullying, or abuse from patients, relatives or members of the public in the last 12 months</w:t>
      </w:r>
      <w:r>
        <w:rPr>
          <w:iCs/>
          <w:color w:val="000000"/>
          <w:sz w:val="24"/>
        </w:rPr>
        <w:t xml:space="preserve"> has increased. </w:t>
      </w:r>
      <w:r w:rsidR="009E286F">
        <w:rPr>
          <w:iCs/>
          <w:color w:val="000000"/>
          <w:sz w:val="24"/>
        </w:rPr>
        <w:t>(29.84% in 2024 to 30.98% in 2025).</w:t>
      </w:r>
    </w:p>
    <w:p w14:paraId="42783F48" w14:textId="3EA2B744" w:rsidR="00187AD1" w:rsidRDefault="00187AD1" w:rsidP="00187AD1">
      <w:pPr>
        <w:pStyle w:val="BodyTextIndent3"/>
        <w:numPr>
          <w:ilvl w:val="0"/>
          <w:numId w:val="28"/>
        </w:numPr>
        <w:tabs>
          <w:tab w:val="left" w:pos="709"/>
        </w:tabs>
        <w:jc w:val="left"/>
        <w:rPr>
          <w:iCs/>
          <w:color w:val="000000"/>
          <w:sz w:val="24"/>
        </w:rPr>
      </w:pPr>
      <w:r>
        <w:rPr>
          <w:iCs/>
          <w:color w:val="000000"/>
          <w:sz w:val="24"/>
        </w:rPr>
        <w:t xml:space="preserve">The percentage of BME </w:t>
      </w:r>
      <w:r w:rsidRPr="0091038E">
        <w:rPr>
          <w:iCs/>
          <w:color w:val="000000"/>
          <w:sz w:val="24"/>
        </w:rPr>
        <w:t>staff experiencing harassment, bullying or abuse from staff in the last 12 months</w:t>
      </w:r>
      <w:r>
        <w:rPr>
          <w:iCs/>
          <w:color w:val="000000"/>
          <w:sz w:val="24"/>
        </w:rPr>
        <w:t xml:space="preserve"> has improved. </w:t>
      </w:r>
      <w:r w:rsidR="000C6CFC">
        <w:rPr>
          <w:iCs/>
          <w:color w:val="000000"/>
          <w:sz w:val="24"/>
        </w:rPr>
        <w:t>(30.</w:t>
      </w:r>
      <w:r w:rsidR="00C74758">
        <w:rPr>
          <w:iCs/>
          <w:color w:val="000000"/>
          <w:sz w:val="24"/>
        </w:rPr>
        <w:t>8</w:t>
      </w:r>
      <w:r w:rsidR="000C6CFC">
        <w:rPr>
          <w:iCs/>
          <w:color w:val="000000"/>
          <w:sz w:val="24"/>
        </w:rPr>
        <w:t>% in 2024 to 29.75% in 2025).</w:t>
      </w:r>
    </w:p>
    <w:p w14:paraId="1A209516" w14:textId="41E8BD91" w:rsidR="00187AD1" w:rsidRDefault="00187AD1" w:rsidP="00187AD1">
      <w:pPr>
        <w:pStyle w:val="BodyTextIndent3"/>
        <w:numPr>
          <w:ilvl w:val="0"/>
          <w:numId w:val="28"/>
        </w:numPr>
        <w:tabs>
          <w:tab w:val="left" w:pos="709"/>
        </w:tabs>
        <w:jc w:val="left"/>
        <w:rPr>
          <w:iCs/>
          <w:color w:val="000000"/>
          <w:sz w:val="24"/>
        </w:rPr>
      </w:pPr>
      <w:r>
        <w:rPr>
          <w:iCs/>
          <w:color w:val="000000"/>
          <w:sz w:val="24"/>
        </w:rPr>
        <w:t xml:space="preserve">The percentage of BME staff </w:t>
      </w:r>
      <w:r w:rsidRPr="003445EA">
        <w:rPr>
          <w:iCs/>
          <w:color w:val="000000"/>
          <w:sz w:val="24"/>
        </w:rPr>
        <w:t>believing that the Trust provides equal opportunities for progression or promotion</w:t>
      </w:r>
      <w:r>
        <w:rPr>
          <w:iCs/>
          <w:color w:val="000000"/>
          <w:sz w:val="24"/>
        </w:rPr>
        <w:t xml:space="preserve"> has deteriorated. </w:t>
      </w:r>
      <w:r w:rsidR="00440342">
        <w:rPr>
          <w:iCs/>
          <w:color w:val="000000"/>
          <w:sz w:val="24"/>
        </w:rPr>
        <w:t>(42.26% in 2024 to 40.56% in 2025).</w:t>
      </w:r>
    </w:p>
    <w:p w14:paraId="6F041DFE" w14:textId="3257ABB6" w:rsidR="00187AD1" w:rsidRDefault="00187AD1" w:rsidP="00187AD1">
      <w:pPr>
        <w:pStyle w:val="BodyTextIndent3"/>
        <w:numPr>
          <w:ilvl w:val="0"/>
          <w:numId w:val="28"/>
        </w:numPr>
        <w:tabs>
          <w:tab w:val="left" w:pos="709"/>
        </w:tabs>
        <w:jc w:val="left"/>
        <w:rPr>
          <w:iCs/>
          <w:color w:val="000000"/>
          <w:sz w:val="24"/>
        </w:rPr>
      </w:pPr>
      <w:r>
        <w:rPr>
          <w:iCs/>
          <w:color w:val="000000"/>
          <w:sz w:val="24"/>
        </w:rPr>
        <w:t xml:space="preserve">The percentage of BME staff who have </w:t>
      </w:r>
      <w:r w:rsidRPr="00074DB6">
        <w:rPr>
          <w:iCs/>
          <w:color w:val="000000"/>
          <w:sz w:val="24"/>
        </w:rPr>
        <w:t>personally experienced discrimination at work from manager, team leader or other colleagues</w:t>
      </w:r>
      <w:r>
        <w:rPr>
          <w:iCs/>
          <w:color w:val="000000"/>
          <w:sz w:val="24"/>
        </w:rPr>
        <w:t xml:space="preserve"> has increased. </w:t>
      </w:r>
      <w:r w:rsidR="00F7168D">
        <w:rPr>
          <w:iCs/>
          <w:color w:val="000000"/>
          <w:sz w:val="24"/>
        </w:rPr>
        <w:t>(22.08% in 2024 to 22.57% in 2025).</w:t>
      </w:r>
    </w:p>
    <w:p w14:paraId="0BFF9189" w14:textId="77777777" w:rsidR="00187AD1" w:rsidRDefault="00187AD1" w:rsidP="00187AD1">
      <w:pPr>
        <w:pStyle w:val="BodyTextIndent3"/>
        <w:numPr>
          <w:ilvl w:val="0"/>
          <w:numId w:val="28"/>
        </w:numPr>
        <w:tabs>
          <w:tab w:val="left" w:pos="709"/>
        </w:tabs>
        <w:jc w:val="left"/>
        <w:rPr>
          <w:iCs/>
          <w:color w:val="000000"/>
          <w:sz w:val="24"/>
        </w:rPr>
      </w:pPr>
      <w:r w:rsidRPr="0087030B">
        <w:rPr>
          <w:bCs/>
          <w:iCs/>
          <w:color w:val="000000"/>
          <w:sz w:val="24"/>
        </w:rPr>
        <w:t xml:space="preserve">The diversity of the Board in relation to </w:t>
      </w:r>
      <w:r>
        <w:rPr>
          <w:bCs/>
          <w:iCs/>
          <w:color w:val="000000"/>
          <w:sz w:val="24"/>
        </w:rPr>
        <w:t>ethnicity</w:t>
      </w:r>
      <w:r w:rsidRPr="0087030B">
        <w:rPr>
          <w:bCs/>
          <w:iCs/>
          <w:color w:val="000000"/>
          <w:sz w:val="24"/>
        </w:rPr>
        <w:t xml:space="preserve"> is static</w:t>
      </w:r>
      <w:r>
        <w:rPr>
          <w:bCs/>
          <w:iCs/>
          <w:color w:val="000000"/>
          <w:sz w:val="24"/>
        </w:rPr>
        <w:t xml:space="preserve">. </w:t>
      </w:r>
    </w:p>
    <w:p w14:paraId="3CB9DCA8" w14:textId="3B9659AD" w:rsidR="00B61153" w:rsidRDefault="00B61153" w:rsidP="00FC2091">
      <w:pPr>
        <w:pStyle w:val="BodyTextIndent3"/>
        <w:tabs>
          <w:tab w:val="left" w:pos="709"/>
        </w:tabs>
        <w:ind w:left="0"/>
        <w:jc w:val="left"/>
        <w:rPr>
          <w:iCs/>
          <w:color w:val="000000"/>
          <w:sz w:val="24"/>
        </w:rPr>
      </w:pPr>
    </w:p>
    <w:p w14:paraId="762B7706" w14:textId="6F7A6D56" w:rsidR="009C6C2C" w:rsidRDefault="009C6C2C" w:rsidP="009C6C2C">
      <w:pPr>
        <w:framePr w:hSpace="180" w:wrap="around" w:vAnchor="text" w:hAnchor="margin" w:y="1"/>
        <w:ind w:left="709"/>
        <w:rPr>
          <w:bCs/>
          <w:szCs w:val="24"/>
        </w:rPr>
      </w:pPr>
      <w:r>
        <w:t xml:space="preserve">The latest WRES findings are deeply concerning and clearly demonstrate that our </w:t>
      </w:r>
      <w:r>
        <w:tab/>
        <w:t>previous actions have not delivered the progress required. There is an urgent need for a bold, refreshed approach to drive meaningful and sustainable improvement.</w:t>
      </w:r>
    </w:p>
    <w:p w14:paraId="2A761899" w14:textId="77777777" w:rsidR="002E38D6" w:rsidRDefault="002E38D6" w:rsidP="00BD332E">
      <w:pPr>
        <w:ind w:left="720"/>
        <w:rPr>
          <w:bCs/>
          <w:szCs w:val="24"/>
        </w:rPr>
      </w:pPr>
    </w:p>
    <w:p w14:paraId="5FAF217B" w14:textId="77777777" w:rsidR="002E38D6" w:rsidRDefault="002E38D6" w:rsidP="002E38D6">
      <w:pPr>
        <w:ind w:firstLine="720"/>
        <w:rPr>
          <w:b/>
          <w:bCs/>
          <w:szCs w:val="24"/>
        </w:rPr>
      </w:pPr>
      <w:r w:rsidRPr="00286455">
        <w:rPr>
          <w:b/>
          <w:bCs/>
          <w:szCs w:val="24"/>
        </w:rPr>
        <w:t>202</w:t>
      </w:r>
      <w:r>
        <w:rPr>
          <w:b/>
          <w:bCs/>
          <w:szCs w:val="24"/>
        </w:rPr>
        <w:t>5</w:t>
      </w:r>
      <w:r w:rsidRPr="00286455">
        <w:rPr>
          <w:b/>
          <w:bCs/>
          <w:szCs w:val="24"/>
        </w:rPr>
        <w:t>-202</w:t>
      </w:r>
      <w:r>
        <w:rPr>
          <w:b/>
          <w:bCs/>
          <w:szCs w:val="24"/>
        </w:rPr>
        <w:t>7</w:t>
      </w:r>
      <w:r w:rsidRPr="00286455">
        <w:rPr>
          <w:b/>
          <w:bCs/>
          <w:szCs w:val="24"/>
        </w:rPr>
        <w:t xml:space="preserve"> W</w:t>
      </w:r>
      <w:r>
        <w:rPr>
          <w:b/>
          <w:bCs/>
          <w:szCs w:val="24"/>
        </w:rPr>
        <w:t>R</w:t>
      </w:r>
      <w:r w:rsidRPr="00286455">
        <w:rPr>
          <w:b/>
          <w:bCs/>
          <w:szCs w:val="24"/>
        </w:rPr>
        <w:t>ES Action Plan</w:t>
      </w:r>
    </w:p>
    <w:p w14:paraId="09C273E2" w14:textId="77777777" w:rsidR="002E38D6" w:rsidRPr="00286455" w:rsidRDefault="002E38D6" w:rsidP="002E38D6">
      <w:pPr>
        <w:ind w:firstLine="720"/>
        <w:rPr>
          <w:b/>
          <w:bCs/>
          <w:szCs w:val="24"/>
        </w:rPr>
      </w:pPr>
    </w:p>
    <w:p w14:paraId="128F823B" w14:textId="00DE996F" w:rsidR="002E38D6" w:rsidRDefault="002E38D6" w:rsidP="005D13D1">
      <w:pPr>
        <w:ind w:left="720"/>
        <w:rPr>
          <w:bCs/>
          <w:szCs w:val="24"/>
        </w:rPr>
      </w:pPr>
      <w:r>
        <w:rPr>
          <w:bCs/>
          <w:szCs w:val="24"/>
        </w:rPr>
        <w:t xml:space="preserve">To develop the 2025-2027 WRES action plan </w:t>
      </w:r>
      <w:r w:rsidR="00E65DD5">
        <w:rPr>
          <w:bCs/>
          <w:szCs w:val="24"/>
        </w:rPr>
        <w:t xml:space="preserve">an invitation was disseminated through Staff Bulletin inviting colleagues to </w:t>
      </w:r>
      <w:r w:rsidR="005D13D1">
        <w:rPr>
          <w:bCs/>
          <w:szCs w:val="24"/>
        </w:rPr>
        <w:t>the</w:t>
      </w:r>
      <w:r>
        <w:rPr>
          <w:bCs/>
          <w:szCs w:val="24"/>
        </w:rPr>
        <w:t xml:space="preserve"> e</w:t>
      </w:r>
      <w:r w:rsidRPr="00A614A9">
        <w:rPr>
          <w:bCs/>
          <w:szCs w:val="24"/>
        </w:rPr>
        <w:t>ngagement event</w:t>
      </w:r>
      <w:r w:rsidR="00905C44">
        <w:rPr>
          <w:bCs/>
          <w:szCs w:val="24"/>
        </w:rPr>
        <w:t xml:space="preserve">. This was </w:t>
      </w:r>
      <w:r w:rsidRPr="00A614A9">
        <w:rPr>
          <w:bCs/>
          <w:szCs w:val="24"/>
        </w:rPr>
        <w:t xml:space="preserve">held with the Race Equality Staff Network and </w:t>
      </w:r>
      <w:r w:rsidR="00DF4022">
        <w:rPr>
          <w:bCs/>
          <w:szCs w:val="24"/>
        </w:rPr>
        <w:t xml:space="preserve">other </w:t>
      </w:r>
      <w:r w:rsidRPr="00A614A9">
        <w:rPr>
          <w:bCs/>
          <w:szCs w:val="24"/>
        </w:rPr>
        <w:t>colleagues on 29 August 2025</w:t>
      </w:r>
      <w:r>
        <w:rPr>
          <w:bCs/>
          <w:szCs w:val="24"/>
        </w:rPr>
        <w:t>. Here the p</w:t>
      </w:r>
      <w:r w:rsidRPr="00AE6DCA">
        <w:rPr>
          <w:bCs/>
          <w:szCs w:val="24"/>
        </w:rPr>
        <w:t xml:space="preserve">rogress made with </w:t>
      </w:r>
      <w:r>
        <w:rPr>
          <w:bCs/>
          <w:szCs w:val="24"/>
        </w:rPr>
        <w:t xml:space="preserve">the </w:t>
      </w:r>
      <w:r w:rsidRPr="00AE6DCA">
        <w:rPr>
          <w:bCs/>
          <w:szCs w:val="24"/>
        </w:rPr>
        <w:t>2023-2025 action plan</w:t>
      </w:r>
      <w:r>
        <w:rPr>
          <w:bCs/>
          <w:szCs w:val="24"/>
        </w:rPr>
        <w:t xml:space="preserve"> was shared along with the 2025 data and national and regional benchmarking. </w:t>
      </w:r>
    </w:p>
    <w:p w14:paraId="2B1FCA9E" w14:textId="77777777" w:rsidR="00B4239C" w:rsidRDefault="00B4239C" w:rsidP="005D13D1">
      <w:pPr>
        <w:ind w:left="720"/>
        <w:rPr>
          <w:bCs/>
          <w:szCs w:val="24"/>
        </w:rPr>
      </w:pPr>
    </w:p>
    <w:p w14:paraId="6A1881E3" w14:textId="0AE747F9" w:rsidR="00B4239C" w:rsidRDefault="00B4239C" w:rsidP="005D13D1">
      <w:pPr>
        <w:ind w:left="720"/>
        <w:rPr>
          <w:bCs/>
          <w:szCs w:val="24"/>
        </w:rPr>
      </w:pPr>
      <w:r>
        <w:rPr>
          <w:bCs/>
          <w:szCs w:val="24"/>
        </w:rPr>
        <w:t xml:space="preserve">Colleagues from Workforce and Organisational Development </w:t>
      </w:r>
      <w:r w:rsidR="005D13D1">
        <w:rPr>
          <w:bCs/>
          <w:szCs w:val="24"/>
        </w:rPr>
        <w:t>attended</w:t>
      </w:r>
      <w:r>
        <w:rPr>
          <w:bCs/>
          <w:szCs w:val="24"/>
        </w:rPr>
        <w:t xml:space="preserve"> the engagement event</w:t>
      </w:r>
      <w:r w:rsidR="005D13D1">
        <w:rPr>
          <w:bCs/>
          <w:szCs w:val="24"/>
        </w:rPr>
        <w:t xml:space="preserve">. They </w:t>
      </w:r>
      <w:r>
        <w:rPr>
          <w:bCs/>
          <w:szCs w:val="24"/>
        </w:rPr>
        <w:t>contribute</w:t>
      </w:r>
      <w:r w:rsidR="005D13D1">
        <w:rPr>
          <w:bCs/>
          <w:szCs w:val="24"/>
        </w:rPr>
        <w:t>d</w:t>
      </w:r>
      <w:r>
        <w:rPr>
          <w:bCs/>
          <w:szCs w:val="24"/>
        </w:rPr>
        <w:t xml:space="preserve"> to discussions regarding the actions required to address the disparities</w:t>
      </w:r>
      <w:r w:rsidR="005D13D1">
        <w:rPr>
          <w:bCs/>
          <w:szCs w:val="24"/>
        </w:rPr>
        <w:t xml:space="preserve"> and move the dial in terms of progress.</w:t>
      </w:r>
    </w:p>
    <w:p w14:paraId="5CA44FC9" w14:textId="5AEB5E5A" w:rsidR="002E38D6" w:rsidRDefault="002E38D6" w:rsidP="005D13D1">
      <w:pPr>
        <w:ind w:left="720"/>
        <w:rPr>
          <w:bCs/>
          <w:szCs w:val="24"/>
        </w:rPr>
      </w:pPr>
      <w:r>
        <w:rPr>
          <w:bCs/>
          <w:szCs w:val="24"/>
        </w:rPr>
        <w:t xml:space="preserve"> </w:t>
      </w:r>
    </w:p>
    <w:p w14:paraId="2695C5A3" w14:textId="254B01CD" w:rsidR="002E38D6" w:rsidRPr="00FC54A8" w:rsidRDefault="002E38D6" w:rsidP="005D13D1">
      <w:pPr>
        <w:ind w:left="720"/>
        <w:rPr>
          <w:bCs/>
          <w:szCs w:val="24"/>
        </w:rPr>
      </w:pPr>
      <w:r>
        <w:rPr>
          <w:bCs/>
          <w:szCs w:val="24"/>
        </w:rPr>
        <w:t xml:space="preserve">There was positive discussion in relation to the agenda with specific focus being placed on the indicators that had either deteriorated or where the percentage of colleagues exposed to negative experiences remained high. These were indicators </w:t>
      </w:r>
      <w:r>
        <w:rPr>
          <w:bCs/>
          <w:szCs w:val="24"/>
        </w:rPr>
        <w:lastRenderedPageBreak/>
        <w:t>2, 5, 6</w:t>
      </w:r>
      <w:r w:rsidRPr="00AE6DCA">
        <w:rPr>
          <w:bCs/>
          <w:szCs w:val="24"/>
        </w:rPr>
        <w:t xml:space="preserve">, </w:t>
      </w:r>
      <w:r>
        <w:rPr>
          <w:bCs/>
          <w:szCs w:val="24"/>
        </w:rPr>
        <w:t>7, 8 and 9. Following the event a t</w:t>
      </w:r>
      <w:r w:rsidRPr="00FC54A8">
        <w:rPr>
          <w:bCs/>
          <w:szCs w:val="24"/>
        </w:rPr>
        <w:t>wo-year action plan</w:t>
      </w:r>
      <w:r>
        <w:rPr>
          <w:bCs/>
          <w:szCs w:val="24"/>
        </w:rPr>
        <w:t xml:space="preserve"> was </w:t>
      </w:r>
      <w:r w:rsidRPr="00FC54A8">
        <w:rPr>
          <w:bCs/>
          <w:szCs w:val="24"/>
        </w:rPr>
        <w:t>co-created</w:t>
      </w:r>
      <w:r>
        <w:rPr>
          <w:bCs/>
          <w:szCs w:val="24"/>
        </w:rPr>
        <w:t xml:space="preserve"> (see Appendix 2). </w:t>
      </w:r>
    </w:p>
    <w:p w14:paraId="3498A999" w14:textId="77777777" w:rsidR="002E38D6" w:rsidRPr="008F05AE" w:rsidRDefault="002E38D6" w:rsidP="00BD332E">
      <w:pPr>
        <w:ind w:left="720"/>
        <w:rPr>
          <w:bCs/>
          <w:szCs w:val="24"/>
        </w:rPr>
      </w:pPr>
    </w:p>
    <w:bookmarkEnd w:id="1"/>
    <w:p w14:paraId="70944BC7" w14:textId="1A486FBF" w:rsidR="00CF650F" w:rsidRDefault="008B2ABD" w:rsidP="008B2ABD">
      <w:pPr>
        <w:ind w:left="720"/>
        <w:rPr>
          <w:bCs/>
          <w:szCs w:val="24"/>
        </w:rPr>
      </w:pPr>
      <w:r>
        <w:rPr>
          <w:bCs/>
          <w:szCs w:val="24"/>
        </w:rPr>
        <w:t>It is noted that although the 2023-2025 action plan was successfully implemented, race equality is not making sufficient improvement. The Trust now has an Anti-Racism Steering Group that will steer it towards race equity by implementing the Race and Health Observatory’s 7 Anti-Racism Principles.</w:t>
      </w:r>
    </w:p>
    <w:p w14:paraId="5C8EAC28" w14:textId="77777777" w:rsidR="008B2ABD" w:rsidRPr="002E38D6" w:rsidRDefault="008B2ABD" w:rsidP="008B2ABD">
      <w:pPr>
        <w:ind w:left="720"/>
        <w:rPr>
          <w:bCs/>
          <w:szCs w:val="24"/>
        </w:rPr>
      </w:pPr>
    </w:p>
    <w:p w14:paraId="5BA13F49" w14:textId="77777777" w:rsidR="00CE1301" w:rsidRPr="002E7A77" w:rsidRDefault="00CE1301" w:rsidP="00A23924">
      <w:pPr>
        <w:pStyle w:val="ListParagraph"/>
        <w:ind w:left="720"/>
        <w:rPr>
          <w:b w:val="0"/>
          <w:color w:val="auto"/>
          <w:szCs w:val="24"/>
        </w:rPr>
      </w:pPr>
      <w:r>
        <w:rPr>
          <w:bCs/>
          <w:szCs w:val="24"/>
        </w:rPr>
        <w:t>Next Steps</w:t>
      </w:r>
    </w:p>
    <w:p w14:paraId="2F4301D0" w14:textId="77777777" w:rsidR="00D55446" w:rsidRPr="002E7A77" w:rsidRDefault="00D55446" w:rsidP="002E7A77">
      <w:pPr>
        <w:pStyle w:val="ListParagraph"/>
        <w:ind w:left="1440"/>
        <w:rPr>
          <w:b w:val="0"/>
          <w:color w:val="auto"/>
          <w:szCs w:val="24"/>
        </w:rPr>
      </w:pPr>
    </w:p>
    <w:p w14:paraId="0D7E02A0" w14:textId="265E548C" w:rsidR="00BB1BB0" w:rsidRPr="002E7A77" w:rsidRDefault="00BB1BB0" w:rsidP="002E7A77">
      <w:pPr>
        <w:pStyle w:val="ListParagraph"/>
        <w:numPr>
          <w:ilvl w:val="0"/>
          <w:numId w:val="30"/>
        </w:numPr>
        <w:rPr>
          <w:b w:val="0"/>
          <w:color w:val="auto"/>
          <w:szCs w:val="24"/>
        </w:rPr>
      </w:pPr>
      <w:r w:rsidRPr="002E7A77">
        <w:rPr>
          <w:b w:val="0"/>
          <w:color w:val="auto"/>
          <w:szCs w:val="24"/>
        </w:rPr>
        <w:t>Deliver the 2025-2027 W</w:t>
      </w:r>
      <w:r w:rsidR="0039496C" w:rsidRPr="002E7A77">
        <w:rPr>
          <w:b w:val="0"/>
          <w:color w:val="auto"/>
          <w:szCs w:val="24"/>
        </w:rPr>
        <w:t>R</w:t>
      </w:r>
      <w:r w:rsidRPr="002E7A77">
        <w:rPr>
          <w:b w:val="0"/>
          <w:color w:val="auto"/>
          <w:szCs w:val="24"/>
        </w:rPr>
        <w:t>ES Action Plan</w:t>
      </w:r>
      <w:r w:rsidR="009B205F">
        <w:rPr>
          <w:b w:val="0"/>
          <w:color w:val="auto"/>
          <w:szCs w:val="24"/>
        </w:rPr>
        <w:t>.</w:t>
      </w:r>
    </w:p>
    <w:p w14:paraId="32A6851D" w14:textId="0BDE4AC4" w:rsidR="00D87604" w:rsidRPr="002E7A77" w:rsidRDefault="00D87604" w:rsidP="002E7A77">
      <w:pPr>
        <w:pStyle w:val="ListParagraph"/>
        <w:numPr>
          <w:ilvl w:val="0"/>
          <w:numId w:val="30"/>
        </w:numPr>
        <w:rPr>
          <w:b w:val="0"/>
          <w:iCs/>
          <w:color w:val="auto"/>
          <w:szCs w:val="24"/>
        </w:rPr>
      </w:pPr>
      <w:r w:rsidRPr="002E7A77">
        <w:rPr>
          <w:b w:val="0"/>
          <w:iCs/>
          <w:color w:val="auto"/>
          <w:szCs w:val="24"/>
        </w:rPr>
        <w:t>Publish the annual report and the 202</w:t>
      </w:r>
      <w:r w:rsidR="007F11E5" w:rsidRPr="002E7A77">
        <w:rPr>
          <w:b w:val="0"/>
          <w:iCs/>
          <w:color w:val="auto"/>
          <w:szCs w:val="24"/>
        </w:rPr>
        <w:t>5</w:t>
      </w:r>
      <w:r w:rsidRPr="002E7A77">
        <w:rPr>
          <w:b w:val="0"/>
          <w:iCs/>
          <w:color w:val="auto"/>
          <w:szCs w:val="24"/>
        </w:rPr>
        <w:t>-202</w:t>
      </w:r>
      <w:r w:rsidR="007F11E5" w:rsidRPr="002E7A77">
        <w:rPr>
          <w:b w:val="0"/>
          <w:iCs/>
          <w:color w:val="auto"/>
          <w:szCs w:val="24"/>
        </w:rPr>
        <w:t>7</w:t>
      </w:r>
      <w:r w:rsidRPr="002E7A77">
        <w:rPr>
          <w:b w:val="0"/>
          <w:iCs/>
          <w:color w:val="auto"/>
          <w:szCs w:val="24"/>
        </w:rPr>
        <w:t xml:space="preserve"> Action Plan on the Trust’s </w:t>
      </w:r>
      <w:r w:rsidR="007F11E5" w:rsidRPr="002E7A77">
        <w:rPr>
          <w:b w:val="0"/>
          <w:iCs/>
          <w:color w:val="auto"/>
          <w:szCs w:val="24"/>
        </w:rPr>
        <w:t>w</w:t>
      </w:r>
      <w:r w:rsidRPr="002E7A77">
        <w:rPr>
          <w:b w:val="0"/>
          <w:iCs/>
          <w:color w:val="auto"/>
          <w:szCs w:val="24"/>
        </w:rPr>
        <w:t>ebsite by 31 October 2025</w:t>
      </w:r>
      <w:r w:rsidR="009B205F">
        <w:rPr>
          <w:b w:val="0"/>
          <w:iCs/>
          <w:color w:val="auto"/>
          <w:szCs w:val="24"/>
        </w:rPr>
        <w:t>.</w:t>
      </w:r>
    </w:p>
    <w:p w14:paraId="394D6D32" w14:textId="77777777" w:rsidR="00D87604" w:rsidRPr="002E7A77" w:rsidRDefault="00D87604" w:rsidP="00D87604">
      <w:pPr>
        <w:rPr>
          <w:szCs w:val="24"/>
        </w:rPr>
      </w:pPr>
    </w:p>
    <w:p w14:paraId="6A62F1D3" w14:textId="35962871" w:rsidR="00D87604" w:rsidRDefault="00D87604" w:rsidP="00D87604">
      <w:pPr>
        <w:rPr>
          <w:bCs/>
          <w:szCs w:val="24"/>
        </w:rPr>
      </w:pPr>
      <w:r w:rsidRPr="008F06DB">
        <w:rPr>
          <w:b/>
          <w:bCs/>
          <w:color w:val="0070C0"/>
          <w:szCs w:val="24"/>
        </w:rPr>
        <w:t>Date:</w:t>
      </w:r>
      <w:r w:rsidRPr="00BA511C">
        <w:rPr>
          <w:szCs w:val="24"/>
        </w:rPr>
        <w:t xml:space="preserve"> </w:t>
      </w:r>
      <w:r w:rsidR="007E69EC">
        <w:rPr>
          <w:szCs w:val="24"/>
        </w:rPr>
        <w:t>October</w:t>
      </w:r>
      <w:r>
        <w:rPr>
          <w:szCs w:val="24"/>
        </w:rPr>
        <w:t xml:space="preserve"> 2025</w:t>
      </w:r>
    </w:p>
    <w:p w14:paraId="1B7F55E6" w14:textId="77777777" w:rsidR="00D55446" w:rsidRPr="00D87604" w:rsidRDefault="00D55446" w:rsidP="00D87604">
      <w:pPr>
        <w:rPr>
          <w:iCs/>
          <w:szCs w:val="24"/>
        </w:rPr>
      </w:pPr>
    </w:p>
    <w:p w14:paraId="386EF2B4" w14:textId="1361C6AC" w:rsidR="00CE1301" w:rsidRPr="00CE1301" w:rsidRDefault="00CE1301" w:rsidP="00CE1301">
      <w:pPr>
        <w:rPr>
          <w:szCs w:val="24"/>
        </w:rPr>
      </w:pPr>
    </w:p>
    <w:p w14:paraId="290F81D0" w14:textId="52F3CD6C" w:rsidR="00CE1301" w:rsidRPr="00CE1301" w:rsidRDefault="00CE1301" w:rsidP="00CE1301">
      <w:pPr>
        <w:rPr>
          <w:szCs w:val="24"/>
        </w:rPr>
      </w:pPr>
    </w:p>
    <w:p w14:paraId="6E1C7F4C" w14:textId="77777777" w:rsidR="00CE1301" w:rsidRPr="00CE1301" w:rsidRDefault="00CE1301" w:rsidP="00CE1301">
      <w:pPr>
        <w:rPr>
          <w:szCs w:val="24"/>
        </w:rPr>
      </w:pPr>
    </w:p>
    <w:sectPr w:rsidR="00CE1301" w:rsidRPr="00CE1301" w:rsidSect="00413CFC">
      <w:headerReference w:type="default" r:id="rId9"/>
      <w:footerReference w:type="default" r:id="rId10"/>
      <w:footerReference w:type="first" r:id="rId11"/>
      <w:pgSz w:w="11900" w:h="16840"/>
      <w:pgMar w:top="1134" w:right="1134" w:bottom="709" w:left="1134"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5BB87" w14:textId="77777777" w:rsidR="004473BC" w:rsidRDefault="004473BC" w:rsidP="00BF6D67">
      <w:r>
        <w:separator/>
      </w:r>
    </w:p>
  </w:endnote>
  <w:endnote w:type="continuationSeparator" w:id="0">
    <w:p w14:paraId="4D9CC19A" w14:textId="77777777" w:rsidR="004473BC" w:rsidRDefault="004473BC" w:rsidP="00BF6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1320867"/>
      <w:docPartObj>
        <w:docPartGallery w:val="Page Numbers (Bottom of Page)"/>
        <w:docPartUnique/>
      </w:docPartObj>
    </w:sdtPr>
    <w:sdtEndPr>
      <w:rPr>
        <w:noProof/>
      </w:rPr>
    </w:sdtEndPr>
    <w:sdtContent>
      <w:p w14:paraId="18B0BC7F" w14:textId="7E94ABDD" w:rsidR="00E03AC3" w:rsidRDefault="00E03AC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E577B4" w14:textId="099AF4DF" w:rsidR="006B0BDB" w:rsidRPr="00935CCF" w:rsidRDefault="006B0BDB" w:rsidP="00935CCF">
    <w:pPr>
      <w:pStyle w:val="Footer"/>
      <w:ind w:left="-426"/>
      <w:rPr>
        <w:i/>
        <w:iCs/>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F0197" w14:textId="569DAF96" w:rsidR="006B0BDB" w:rsidRPr="00935CCF" w:rsidRDefault="006F6A84" w:rsidP="00935CCF">
    <w:pPr>
      <w:pStyle w:val="Footer"/>
      <w:ind w:left="-567"/>
      <w:rPr>
        <w:i/>
        <w:iCs/>
        <w:sz w:val="20"/>
        <w:szCs w:val="20"/>
      </w:rPr>
    </w:pPr>
    <w:r>
      <w:rPr>
        <w:i/>
        <w:iCs/>
        <w:sz w:val="20"/>
        <w:szCs w:val="20"/>
      </w:rPr>
      <w:t xml:space="preserve">WRES Annual Report, </w:t>
    </w:r>
    <w:r w:rsidR="00103372">
      <w:rPr>
        <w:i/>
        <w:iCs/>
        <w:sz w:val="20"/>
        <w:szCs w:val="20"/>
      </w:rPr>
      <w:t>October</w:t>
    </w:r>
    <w:r>
      <w:rPr>
        <w:i/>
        <w:iCs/>
        <w:sz w:val="20"/>
        <w:szCs w:val="20"/>
      </w:rPr>
      <w:t xml:space="preserve"> 202</w:t>
    </w:r>
    <w:r w:rsidR="00103372">
      <w:rPr>
        <w:i/>
        <w:iCs/>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2DDC2" w14:textId="77777777" w:rsidR="004473BC" w:rsidRDefault="004473BC" w:rsidP="00BF6D67">
      <w:r>
        <w:separator/>
      </w:r>
    </w:p>
  </w:footnote>
  <w:footnote w:type="continuationSeparator" w:id="0">
    <w:p w14:paraId="487BC1FF" w14:textId="77777777" w:rsidR="004473BC" w:rsidRDefault="004473BC" w:rsidP="00BF6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F77D7" w14:textId="5FA4D6CF" w:rsidR="00AC3EAA" w:rsidRDefault="00AC3EAA">
    <w:pPr>
      <w:pStyle w:val="Header"/>
      <w:jc w:val="right"/>
    </w:pPr>
  </w:p>
  <w:p w14:paraId="66F1B924" w14:textId="77777777" w:rsidR="00AC3EAA" w:rsidRDefault="00AC3E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27220"/>
    <w:multiLevelType w:val="hybridMultilevel"/>
    <w:tmpl w:val="0810C8B0"/>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 w15:restartNumberingAfterBreak="0">
    <w:nsid w:val="0B2A0C0D"/>
    <w:multiLevelType w:val="hybridMultilevel"/>
    <w:tmpl w:val="BBE86A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221B9D"/>
    <w:multiLevelType w:val="hybridMultilevel"/>
    <w:tmpl w:val="0054E7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0287473"/>
    <w:multiLevelType w:val="hybridMultilevel"/>
    <w:tmpl w:val="090A3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D77246"/>
    <w:multiLevelType w:val="hybridMultilevel"/>
    <w:tmpl w:val="4F9805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22A51D4"/>
    <w:multiLevelType w:val="hybridMultilevel"/>
    <w:tmpl w:val="96F27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636D7C"/>
    <w:multiLevelType w:val="hybridMultilevel"/>
    <w:tmpl w:val="EF9A7B8A"/>
    <w:lvl w:ilvl="0" w:tplc="08090001">
      <w:start w:val="1"/>
      <w:numFmt w:val="bullet"/>
      <w:lvlText w:val=""/>
      <w:lvlJc w:val="left"/>
      <w:pPr>
        <w:ind w:left="1431" w:hanging="360"/>
      </w:pPr>
      <w:rPr>
        <w:rFonts w:ascii="Symbol" w:hAnsi="Symbol" w:hint="default"/>
      </w:rPr>
    </w:lvl>
    <w:lvl w:ilvl="1" w:tplc="08090003" w:tentative="1">
      <w:start w:val="1"/>
      <w:numFmt w:val="bullet"/>
      <w:lvlText w:val="o"/>
      <w:lvlJc w:val="left"/>
      <w:pPr>
        <w:ind w:left="2151" w:hanging="360"/>
      </w:pPr>
      <w:rPr>
        <w:rFonts w:ascii="Courier New" w:hAnsi="Courier New" w:cs="Courier New" w:hint="default"/>
      </w:rPr>
    </w:lvl>
    <w:lvl w:ilvl="2" w:tplc="08090005" w:tentative="1">
      <w:start w:val="1"/>
      <w:numFmt w:val="bullet"/>
      <w:lvlText w:val=""/>
      <w:lvlJc w:val="left"/>
      <w:pPr>
        <w:ind w:left="2871" w:hanging="360"/>
      </w:pPr>
      <w:rPr>
        <w:rFonts w:ascii="Wingdings" w:hAnsi="Wingdings" w:hint="default"/>
      </w:rPr>
    </w:lvl>
    <w:lvl w:ilvl="3" w:tplc="08090001" w:tentative="1">
      <w:start w:val="1"/>
      <w:numFmt w:val="bullet"/>
      <w:lvlText w:val=""/>
      <w:lvlJc w:val="left"/>
      <w:pPr>
        <w:ind w:left="3591" w:hanging="360"/>
      </w:pPr>
      <w:rPr>
        <w:rFonts w:ascii="Symbol" w:hAnsi="Symbol" w:hint="default"/>
      </w:rPr>
    </w:lvl>
    <w:lvl w:ilvl="4" w:tplc="08090003" w:tentative="1">
      <w:start w:val="1"/>
      <w:numFmt w:val="bullet"/>
      <w:lvlText w:val="o"/>
      <w:lvlJc w:val="left"/>
      <w:pPr>
        <w:ind w:left="4311" w:hanging="360"/>
      </w:pPr>
      <w:rPr>
        <w:rFonts w:ascii="Courier New" w:hAnsi="Courier New" w:cs="Courier New" w:hint="default"/>
      </w:rPr>
    </w:lvl>
    <w:lvl w:ilvl="5" w:tplc="08090005" w:tentative="1">
      <w:start w:val="1"/>
      <w:numFmt w:val="bullet"/>
      <w:lvlText w:val=""/>
      <w:lvlJc w:val="left"/>
      <w:pPr>
        <w:ind w:left="5031" w:hanging="360"/>
      </w:pPr>
      <w:rPr>
        <w:rFonts w:ascii="Wingdings" w:hAnsi="Wingdings" w:hint="default"/>
      </w:rPr>
    </w:lvl>
    <w:lvl w:ilvl="6" w:tplc="08090001" w:tentative="1">
      <w:start w:val="1"/>
      <w:numFmt w:val="bullet"/>
      <w:lvlText w:val=""/>
      <w:lvlJc w:val="left"/>
      <w:pPr>
        <w:ind w:left="5751" w:hanging="360"/>
      </w:pPr>
      <w:rPr>
        <w:rFonts w:ascii="Symbol" w:hAnsi="Symbol" w:hint="default"/>
      </w:rPr>
    </w:lvl>
    <w:lvl w:ilvl="7" w:tplc="08090003" w:tentative="1">
      <w:start w:val="1"/>
      <w:numFmt w:val="bullet"/>
      <w:lvlText w:val="o"/>
      <w:lvlJc w:val="left"/>
      <w:pPr>
        <w:ind w:left="6471" w:hanging="360"/>
      </w:pPr>
      <w:rPr>
        <w:rFonts w:ascii="Courier New" w:hAnsi="Courier New" w:cs="Courier New" w:hint="default"/>
      </w:rPr>
    </w:lvl>
    <w:lvl w:ilvl="8" w:tplc="08090005" w:tentative="1">
      <w:start w:val="1"/>
      <w:numFmt w:val="bullet"/>
      <w:lvlText w:val=""/>
      <w:lvlJc w:val="left"/>
      <w:pPr>
        <w:ind w:left="7191" w:hanging="360"/>
      </w:pPr>
      <w:rPr>
        <w:rFonts w:ascii="Wingdings" w:hAnsi="Wingdings" w:hint="default"/>
      </w:rPr>
    </w:lvl>
  </w:abstractNum>
  <w:abstractNum w:abstractNumId="7" w15:restartNumberingAfterBreak="0">
    <w:nsid w:val="29AB2CE6"/>
    <w:multiLevelType w:val="hybridMultilevel"/>
    <w:tmpl w:val="77CAFC1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2A681CAC"/>
    <w:multiLevelType w:val="hybridMultilevel"/>
    <w:tmpl w:val="97728AF4"/>
    <w:lvl w:ilvl="0" w:tplc="4022D59A">
      <w:start w:val="1"/>
      <w:numFmt w:val="bullet"/>
      <w:lvlText w:val=""/>
      <w:lvlJc w:val="left"/>
      <w:pPr>
        <w:ind w:left="1647"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BAA670B"/>
    <w:multiLevelType w:val="hybridMultilevel"/>
    <w:tmpl w:val="4E86FF50"/>
    <w:lvl w:ilvl="0" w:tplc="4022D59A">
      <w:start w:val="1"/>
      <w:numFmt w:val="bullet"/>
      <w:lvlText w:val=""/>
      <w:lvlJc w:val="left"/>
      <w:pPr>
        <w:ind w:left="927"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E03EEB"/>
    <w:multiLevelType w:val="hybridMultilevel"/>
    <w:tmpl w:val="E97E4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AC0CB7"/>
    <w:multiLevelType w:val="hybridMultilevel"/>
    <w:tmpl w:val="63542862"/>
    <w:lvl w:ilvl="0" w:tplc="A88471A0">
      <w:start w:val="1"/>
      <w:numFmt w:val="bullet"/>
      <w:pStyle w:val="BlueBulletList"/>
      <w:lvlText w:val=""/>
      <w:lvlJc w:val="left"/>
      <w:pPr>
        <w:ind w:left="284" w:hanging="284"/>
      </w:pPr>
      <w:rPr>
        <w:rFonts w:ascii="Symbol" w:hAnsi="Symbol" w:hint="default"/>
        <w:color w:val="0072C6"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384C94"/>
    <w:multiLevelType w:val="hybridMultilevel"/>
    <w:tmpl w:val="311E98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8885DCA"/>
    <w:multiLevelType w:val="hybridMultilevel"/>
    <w:tmpl w:val="9E70E0DC"/>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4" w15:restartNumberingAfterBreak="0">
    <w:nsid w:val="4D520D35"/>
    <w:multiLevelType w:val="hybridMultilevel"/>
    <w:tmpl w:val="C5026A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F4838F2"/>
    <w:multiLevelType w:val="hybridMultilevel"/>
    <w:tmpl w:val="3B78DE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6DE5A8E"/>
    <w:multiLevelType w:val="hybridMultilevel"/>
    <w:tmpl w:val="6ED678AE"/>
    <w:lvl w:ilvl="0" w:tplc="4022D59A">
      <w:start w:val="1"/>
      <w:numFmt w:val="bullet"/>
      <w:lvlText w:val=""/>
      <w:lvlJc w:val="left"/>
      <w:pPr>
        <w:ind w:left="1647"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83B0FE3"/>
    <w:multiLevelType w:val="hybridMultilevel"/>
    <w:tmpl w:val="15968DF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8" w15:restartNumberingAfterBreak="0">
    <w:nsid w:val="5C6D0F3B"/>
    <w:multiLevelType w:val="hybridMultilevel"/>
    <w:tmpl w:val="BBE86A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766D00"/>
    <w:multiLevelType w:val="multilevel"/>
    <w:tmpl w:val="D1C628D0"/>
    <w:lvl w:ilvl="0">
      <w:start w:val="1"/>
      <w:numFmt w:val="decimal"/>
      <w:pStyle w:val="ReportBullet1"/>
      <w:lvlText w:val="%1."/>
      <w:lvlJc w:val="left"/>
      <w:pPr>
        <w:tabs>
          <w:tab w:val="num" w:pos="360"/>
        </w:tabs>
        <w:ind w:left="360" w:hanging="360"/>
      </w:pPr>
      <w:rPr>
        <w:rFonts w:ascii="Arial" w:hAnsi="Arial" w:cs="Arial" w:hint="default"/>
        <w:b/>
      </w:rPr>
    </w:lvl>
    <w:lvl w:ilvl="1">
      <w:start w:val="1"/>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5C7A7C92"/>
    <w:multiLevelType w:val="hybridMultilevel"/>
    <w:tmpl w:val="A012620E"/>
    <w:lvl w:ilvl="0" w:tplc="29504A5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A80E26"/>
    <w:multiLevelType w:val="hybridMultilevel"/>
    <w:tmpl w:val="0BBC67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4ED2CF3"/>
    <w:multiLevelType w:val="hybridMultilevel"/>
    <w:tmpl w:val="FF365536"/>
    <w:lvl w:ilvl="0" w:tplc="7C403B8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7B42015"/>
    <w:multiLevelType w:val="hybridMultilevel"/>
    <w:tmpl w:val="DF287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4856FA"/>
    <w:multiLevelType w:val="hybridMultilevel"/>
    <w:tmpl w:val="D870E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E12492"/>
    <w:multiLevelType w:val="hybridMultilevel"/>
    <w:tmpl w:val="5F3E2114"/>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26" w15:restartNumberingAfterBreak="0">
    <w:nsid w:val="6CCF067A"/>
    <w:multiLevelType w:val="hybridMultilevel"/>
    <w:tmpl w:val="B8C862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DD71A97"/>
    <w:multiLevelType w:val="hybridMultilevel"/>
    <w:tmpl w:val="809A2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0D63C0"/>
    <w:multiLevelType w:val="hybridMultilevel"/>
    <w:tmpl w:val="146E2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982583"/>
    <w:multiLevelType w:val="hybridMultilevel"/>
    <w:tmpl w:val="A8F0AF4C"/>
    <w:lvl w:ilvl="0" w:tplc="29504A5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9246499">
    <w:abstractNumId w:val="11"/>
  </w:num>
  <w:num w:numId="2" w16cid:durableId="1006010341">
    <w:abstractNumId w:val="19"/>
  </w:num>
  <w:num w:numId="3" w16cid:durableId="1831629020">
    <w:abstractNumId w:val="18"/>
  </w:num>
  <w:num w:numId="4" w16cid:durableId="1702432727">
    <w:abstractNumId w:val="7"/>
  </w:num>
  <w:num w:numId="5" w16cid:durableId="1564291877">
    <w:abstractNumId w:val="24"/>
  </w:num>
  <w:num w:numId="6" w16cid:durableId="454720196">
    <w:abstractNumId w:val="23"/>
  </w:num>
  <w:num w:numId="7" w16cid:durableId="2048948131">
    <w:abstractNumId w:val="20"/>
  </w:num>
  <w:num w:numId="8" w16cid:durableId="1833107803">
    <w:abstractNumId w:val="9"/>
  </w:num>
  <w:num w:numId="9" w16cid:durableId="1482890837">
    <w:abstractNumId w:val="1"/>
  </w:num>
  <w:num w:numId="10" w16cid:durableId="1387341264">
    <w:abstractNumId w:val="10"/>
  </w:num>
  <w:num w:numId="11" w16cid:durableId="756249226">
    <w:abstractNumId w:val="27"/>
  </w:num>
  <w:num w:numId="12" w16cid:durableId="168102741">
    <w:abstractNumId w:val="0"/>
  </w:num>
  <w:num w:numId="13" w16cid:durableId="2095737006">
    <w:abstractNumId w:val="6"/>
  </w:num>
  <w:num w:numId="14" w16cid:durableId="797071378">
    <w:abstractNumId w:val="29"/>
  </w:num>
  <w:num w:numId="15" w16cid:durableId="868880228">
    <w:abstractNumId w:val="8"/>
  </w:num>
  <w:num w:numId="16" w16cid:durableId="730268540">
    <w:abstractNumId w:val="16"/>
  </w:num>
  <w:num w:numId="17" w16cid:durableId="877932470">
    <w:abstractNumId w:val="5"/>
  </w:num>
  <w:num w:numId="18" w16cid:durableId="2123718356">
    <w:abstractNumId w:val="14"/>
  </w:num>
  <w:num w:numId="19" w16cid:durableId="528495795">
    <w:abstractNumId w:val="26"/>
  </w:num>
  <w:num w:numId="20" w16cid:durableId="1506356659">
    <w:abstractNumId w:val="28"/>
  </w:num>
  <w:num w:numId="21" w16cid:durableId="2116512526">
    <w:abstractNumId w:val="12"/>
  </w:num>
  <w:num w:numId="22" w16cid:durableId="1149979176">
    <w:abstractNumId w:val="4"/>
  </w:num>
  <w:num w:numId="23" w16cid:durableId="685252475">
    <w:abstractNumId w:val="25"/>
  </w:num>
  <w:num w:numId="24" w16cid:durableId="1733037838">
    <w:abstractNumId w:val="15"/>
  </w:num>
  <w:num w:numId="25" w16cid:durableId="1721250137">
    <w:abstractNumId w:val="21"/>
  </w:num>
  <w:num w:numId="26" w16cid:durableId="970133427">
    <w:abstractNumId w:val="2"/>
  </w:num>
  <w:num w:numId="27" w16cid:durableId="90858747">
    <w:abstractNumId w:val="22"/>
  </w:num>
  <w:num w:numId="28" w16cid:durableId="1633320086">
    <w:abstractNumId w:val="13"/>
  </w:num>
  <w:num w:numId="29" w16cid:durableId="163980672">
    <w:abstractNumId w:val="17"/>
  </w:num>
  <w:num w:numId="30" w16cid:durableId="1343046160">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F10"/>
    <w:rsid w:val="00005EBD"/>
    <w:rsid w:val="00006722"/>
    <w:rsid w:val="00011E5E"/>
    <w:rsid w:val="000121A8"/>
    <w:rsid w:val="00012AEB"/>
    <w:rsid w:val="000146F7"/>
    <w:rsid w:val="000174BF"/>
    <w:rsid w:val="00017C7C"/>
    <w:rsid w:val="00021629"/>
    <w:rsid w:val="0003095A"/>
    <w:rsid w:val="0003525E"/>
    <w:rsid w:val="00035C5B"/>
    <w:rsid w:val="0004060F"/>
    <w:rsid w:val="000412CA"/>
    <w:rsid w:val="0004290E"/>
    <w:rsid w:val="00042958"/>
    <w:rsid w:val="00045980"/>
    <w:rsid w:val="00047E05"/>
    <w:rsid w:val="00053F1B"/>
    <w:rsid w:val="0005470B"/>
    <w:rsid w:val="000562B4"/>
    <w:rsid w:val="00060DE3"/>
    <w:rsid w:val="00061542"/>
    <w:rsid w:val="00064DA9"/>
    <w:rsid w:val="00066417"/>
    <w:rsid w:val="0006647E"/>
    <w:rsid w:val="00070AF4"/>
    <w:rsid w:val="000710A5"/>
    <w:rsid w:val="000815C5"/>
    <w:rsid w:val="00082380"/>
    <w:rsid w:val="00085D73"/>
    <w:rsid w:val="00091735"/>
    <w:rsid w:val="00091BBD"/>
    <w:rsid w:val="00093ABC"/>
    <w:rsid w:val="000975EA"/>
    <w:rsid w:val="00097EA4"/>
    <w:rsid w:val="000A1698"/>
    <w:rsid w:val="000A1A7B"/>
    <w:rsid w:val="000A3B14"/>
    <w:rsid w:val="000A7238"/>
    <w:rsid w:val="000B0FB6"/>
    <w:rsid w:val="000B1AF3"/>
    <w:rsid w:val="000B4115"/>
    <w:rsid w:val="000B52C3"/>
    <w:rsid w:val="000B5D73"/>
    <w:rsid w:val="000B721F"/>
    <w:rsid w:val="000B739D"/>
    <w:rsid w:val="000C068F"/>
    <w:rsid w:val="000C1870"/>
    <w:rsid w:val="000C1CA5"/>
    <w:rsid w:val="000C20BF"/>
    <w:rsid w:val="000C28B6"/>
    <w:rsid w:val="000C4A05"/>
    <w:rsid w:val="000C50DC"/>
    <w:rsid w:val="000C6CFC"/>
    <w:rsid w:val="000C7453"/>
    <w:rsid w:val="000D1FDB"/>
    <w:rsid w:val="000D209E"/>
    <w:rsid w:val="000D52C8"/>
    <w:rsid w:val="000D6296"/>
    <w:rsid w:val="000E3692"/>
    <w:rsid w:val="000E3C89"/>
    <w:rsid w:val="000E60A0"/>
    <w:rsid w:val="000F2682"/>
    <w:rsid w:val="000F4B63"/>
    <w:rsid w:val="000F578F"/>
    <w:rsid w:val="000F7027"/>
    <w:rsid w:val="001025A8"/>
    <w:rsid w:val="00102B8D"/>
    <w:rsid w:val="00103372"/>
    <w:rsid w:val="00104464"/>
    <w:rsid w:val="00113D70"/>
    <w:rsid w:val="00120227"/>
    <w:rsid w:val="0012446D"/>
    <w:rsid w:val="001244FB"/>
    <w:rsid w:val="00127031"/>
    <w:rsid w:val="00130B1D"/>
    <w:rsid w:val="00131E52"/>
    <w:rsid w:val="00132AA8"/>
    <w:rsid w:val="001400A6"/>
    <w:rsid w:val="00141804"/>
    <w:rsid w:val="001425E2"/>
    <w:rsid w:val="00142B58"/>
    <w:rsid w:val="00143214"/>
    <w:rsid w:val="00145242"/>
    <w:rsid w:val="00147B8F"/>
    <w:rsid w:val="00151BBA"/>
    <w:rsid w:val="00152626"/>
    <w:rsid w:val="00152EAA"/>
    <w:rsid w:val="001552E7"/>
    <w:rsid w:val="00155FAA"/>
    <w:rsid w:val="0015636F"/>
    <w:rsid w:val="001565A2"/>
    <w:rsid w:val="001575CB"/>
    <w:rsid w:val="00157609"/>
    <w:rsid w:val="00157644"/>
    <w:rsid w:val="00161A0C"/>
    <w:rsid w:val="00163B92"/>
    <w:rsid w:val="00164F7C"/>
    <w:rsid w:val="001666BB"/>
    <w:rsid w:val="001707F1"/>
    <w:rsid w:val="00172E39"/>
    <w:rsid w:val="00172FE1"/>
    <w:rsid w:val="001737B4"/>
    <w:rsid w:val="00174031"/>
    <w:rsid w:val="00176100"/>
    <w:rsid w:val="00176AA0"/>
    <w:rsid w:val="001819B8"/>
    <w:rsid w:val="00183F32"/>
    <w:rsid w:val="00186173"/>
    <w:rsid w:val="00187AD1"/>
    <w:rsid w:val="0019165D"/>
    <w:rsid w:val="0019545D"/>
    <w:rsid w:val="00196FB5"/>
    <w:rsid w:val="001A1B28"/>
    <w:rsid w:val="001A2ECB"/>
    <w:rsid w:val="001A32EC"/>
    <w:rsid w:val="001A4F1C"/>
    <w:rsid w:val="001A5186"/>
    <w:rsid w:val="001A5F36"/>
    <w:rsid w:val="001B0A9A"/>
    <w:rsid w:val="001B40FF"/>
    <w:rsid w:val="001B546D"/>
    <w:rsid w:val="001B76E0"/>
    <w:rsid w:val="001C01D6"/>
    <w:rsid w:val="001C2839"/>
    <w:rsid w:val="001C3B49"/>
    <w:rsid w:val="001C605C"/>
    <w:rsid w:val="001C760B"/>
    <w:rsid w:val="001C7B9F"/>
    <w:rsid w:val="001D1F0F"/>
    <w:rsid w:val="001D4666"/>
    <w:rsid w:val="001D5349"/>
    <w:rsid w:val="001E77AA"/>
    <w:rsid w:val="001E792A"/>
    <w:rsid w:val="001F1056"/>
    <w:rsid w:val="001F195B"/>
    <w:rsid w:val="001F2817"/>
    <w:rsid w:val="001F3683"/>
    <w:rsid w:val="002046B8"/>
    <w:rsid w:val="00206F39"/>
    <w:rsid w:val="0021024F"/>
    <w:rsid w:val="002120ED"/>
    <w:rsid w:val="00212C0A"/>
    <w:rsid w:val="002133B9"/>
    <w:rsid w:val="0021429D"/>
    <w:rsid w:val="00216F45"/>
    <w:rsid w:val="002257F5"/>
    <w:rsid w:val="00225C13"/>
    <w:rsid w:val="002303BC"/>
    <w:rsid w:val="002307E5"/>
    <w:rsid w:val="0023373A"/>
    <w:rsid w:val="0024708D"/>
    <w:rsid w:val="00247D5E"/>
    <w:rsid w:val="00251F62"/>
    <w:rsid w:val="002531F5"/>
    <w:rsid w:val="00253B9B"/>
    <w:rsid w:val="0026088A"/>
    <w:rsid w:val="00261AE7"/>
    <w:rsid w:val="00264F35"/>
    <w:rsid w:val="00265689"/>
    <w:rsid w:val="00267089"/>
    <w:rsid w:val="0027056A"/>
    <w:rsid w:val="002741B9"/>
    <w:rsid w:val="0028051C"/>
    <w:rsid w:val="00280642"/>
    <w:rsid w:val="00281D77"/>
    <w:rsid w:val="002831EC"/>
    <w:rsid w:val="0028503F"/>
    <w:rsid w:val="002865C2"/>
    <w:rsid w:val="0029080E"/>
    <w:rsid w:val="002A6133"/>
    <w:rsid w:val="002A79AE"/>
    <w:rsid w:val="002B256E"/>
    <w:rsid w:val="002B2CD5"/>
    <w:rsid w:val="002B5065"/>
    <w:rsid w:val="002B532D"/>
    <w:rsid w:val="002C1489"/>
    <w:rsid w:val="002C1788"/>
    <w:rsid w:val="002C1ACD"/>
    <w:rsid w:val="002C2610"/>
    <w:rsid w:val="002D3836"/>
    <w:rsid w:val="002D7382"/>
    <w:rsid w:val="002E1B6A"/>
    <w:rsid w:val="002E2497"/>
    <w:rsid w:val="002E38D6"/>
    <w:rsid w:val="002E7A77"/>
    <w:rsid w:val="002F0127"/>
    <w:rsid w:val="002F1A33"/>
    <w:rsid w:val="002F670F"/>
    <w:rsid w:val="002F6BDA"/>
    <w:rsid w:val="002F7EB4"/>
    <w:rsid w:val="00301D8B"/>
    <w:rsid w:val="00313790"/>
    <w:rsid w:val="00316A75"/>
    <w:rsid w:val="00321AEF"/>
    <w:rsid w:val="00323B6D"/>
    <w:rsid w:val="00323ECC"/>
    <w:rsid w:val="00325B07"/>
    <w:rsid w:val="00325C16"/>
    <w:rsid w:val="00331301"/>
    <w:rsid w:val="00331345"/>
    <w:rsid w:val="00331CD7"/>
    <w:rsid w:val="003355D6"/>
    <w:rsid w:val="003400B2"/>
    <w:rsid w:val="00353D14"/>
    <w:rsid w:val="00357B57"/>
    <w:rsid w:val="0036649E"/>
    <w:rsid w:val="00376185"/>
    <w:rsid w:val="0037635A"/>
    <w:rsid w:val="00381A5F"/>
    <w:rsid w:val="00383890"/>
    <w:rsid w:val="00384A28"/>
    <w:rsid w:val="003856F3"/>
    <w:rsid w:val="0039122D"/>
    <w:rsid w:val="00391B1C"/>
    <w:rsid w:val="00393D21"/>
    <w:rsid w:val="0039496C"/>
    <w:rsid w:val="00397A27"/>
    <w:rsid w:val="003A1E61"/>
    <w:rsid w:val="003A29FB"/>
    <w:rsid w:val="003A3454"/>
    <w:rsid w:val="003A3F5B"/>
    <w:rsid w:val="003A4FB4"/>
    <w:rsid w:val="003B29F2"/>
    <w:rsid w:val="003B6934"/>
    <w:rsid w:val="003C108E"/>
    <w:rsid w:val="003C54BF"/>
    <w:rsid w:val="003D23D8"/>
    <w:rsid w:val="003D3C50"/>
    <w:rsid w:val="003D4297"/>
    <w:rsid w:val="003E541D"/>
    <w:rsid w:val="003F044F"/>
    <w:rsid w:val="003F1CBB"/>
    <w:rsid w:val="003F4DAA"/>
    <w:rsid w:val="00401081"/>
    <w:rsid w:val="004012CF"/>
    <w:rsid w:val="00404004"/>
    <w:rsid w:val="00404CD0"/>
    <w:rsid w:val="00404FE1"/>
    <w:rsid w:val="004125EF"/>
    <w:rsid w:val="00413273"/>
    <w:rsid w:val="00413CFC"/>
    <w:rsid w:val="00423F95"/>
    <w:rsid w:val="0042419C"/>
    <w:rsid w:val="00431249"/>
    <w:rsid w:val="00432B38"/>
    <w:rsid w:val="004330C4"/>
    <w:rsid w:val="00433D35"/>
    <w:rsid w:val="00440342"/>
    <w:rsid w:val="00440B26"/>
    <w:rsid w:val="004423DD"/>
    <w:rsid w:val="004430A1"/>
    <w:rsid w:val="00443E8A"/>
    <w:rsid w:val="004464A1"/>
    <w:rsid w:val="004473BC"/>
    <w:rsid w:val="00450AAC"/>
    <w:rsid w:val="00453B49"/>
    <w:rsid w:val="00454B70"/>
    <w:rsid w:val="00456081"/>
    <w:rsid w:val="00456E73"/>
    <w:rsid w:val="00461122"/>
    <w:rsid w:val="004614D0"/>
    <w:rsid w:val="00464F29"/>
    <w:rsid w:val="00467AC7"/>
    <w:rsid w:val="00480A74"/>
    <w:rsid w:val="00480C72"/>
    <w:rsid w:val="00480D81"/>
    <w:rsid w:val="004821F0"/>
    <w:rsid w:val="00482611"/>
    <w:rsid w:val="0048431D"/>
    <w:rsid w:val="0049308B"/>
    <w:rsid w:val="00495D16"/>
    <w:rsid w:val="00497CE5"/>
    <w:rsid w:val="004A6EE6"/>
    <w:rsid w:val="004B041D"/>
    <w:rsid w:val="004B0D88"/>
    <w:rsid w:val="004B27DB"/>
    <w:rsid w:val="004B3210"/>
    <w:rsid w:val="004B4DCB"/>
    <w:rsid w:val="004B7B9A"/>
    <w:rsid w:val="004C05FD"/>
    <w:rsid w:val="004C5572"/>
    <w:rsid w:val="004C664A"/>
    <w:rsid w:val="004D15A4"/>
    <w:rsid w:val="004D7442"/>
    <w:rsid w:val="004D7E54"/>
    <w:rsid w:val="004E0890"/>
    <w:rsid w:val="004E6DDF"/>
    <w:rsid w:val="004F1A8A"/>
    <w:rsid w:val="004F21D1"/>
    <w:rsid w:val="004F2578"/>
    <w:rsid w:val="0050093D"/>
    <w:rsid w:val="0050242E"/>
    <w:rsid w:val="005066D9"/>
    <w:rsid w:val="0050706B"/>
    <w:rsid w:val="00510CDE"/>
    <w:rsid w:val="00512400"/>
    <w:rsid w:val="00513646"/>
    <w:rsid w:val="005143F6"/>
    <w:rsid w:val="005157B2"/>
    <w:rsid w:val="00515C01"/>
    <w:rsid w:val="005207EE"/>
    <w:rsid w:val="00521E4D"/>
    <w:rsid w:val="00533620"/>
    <w:rsid w:val="005344DE"/>
    <w:rsid w:val="0054064B"/>
    <w:rsid w:val="00541A5B"/>
    <w:rsid w:val="00541DCE"/>
    <w:rsid w:val="00541F2C"/>
    <w:rsid w:val="00542528"/>
    <w:rsid w:val="00550A6E"/>
    <w:rsid w:val="00551143"/>
    <w:rsid w:val="005517A6"/>
    <w:rsid w:val="00553147"/>
    <w:rsid w:val="00553D05"/>
    <w:rsid w:val="00553F45"/>
    <w:rsid w:val="005566CB"/>
    <w:rsid w:val="00556AA5"/>
    <w:rsid w:val="00556D08"/>
    <w:rsid w:val="00560CD1"/>
    <w:rsid w:val="00565E7C"/>
    <w:rsid w:val="005763F1"/>
    <w:rsid w:val="00577F40"/>
    <w:rsid w:val="00580D55"/>
    <w:rsid w:val="0058389F"/>
    <w:rsid w:val="005869D7"/>
    <w:rsid w:val="0059584E"/>
    <w:rsid w:val="0059640B"/>
    <w:rsid w:val="005971F5"/>
    <w:rsid w:val="005A580A"/>
    <w:rsid w:val="005A5E12"/>
    <w:rsid w:val="005B4516"/>
    <w:rsid w:val="005B5DB3"/>
    <w:rsid w:val="005C6C12"/>
    <w:rsid w:val="005C701B"/>
    <w:rsid w:val="005C768B"/>
    <w:rsid w:val="005D13D1"/>
    <w:rsid w:val="005D214F"/>
    <w:rsid w:val="005D362D"/>
    <w:rsid w:val="005D36D1"/>
    <w:rsid w:val="005E09F4"/>
    <w:rsid w:val="005E14B1"/>
    <w:rsid w:val="005E2E4E"/>
    <w:rsid w:val="005E75C5"/>
    <w:rsid w:val="005F069E"/>
    <w:rsid w:val="005F1979"/>
    <w:rsid w:val="005F23A2"/>
    <w:rsid w:val="005F2BD2"/>
    <w:rsid w:val="005F32CE"/>
    <w:rsid w:val="005F4B0D"/>
    <w:rsid w:val="005F4BC7"/>
    <w:rsid w:val="005F6915"/>
    <w:rsid w:val="00601659"/>
    <w:rsid w:val="00604C43"/>
    <w:rsid w:val="006055CA"/>
    <w:rsid w:val="00606B2C"/>
    <w:rsid w:val="00607531"/>
    <w:rsid w:val="006111E8"/>
    <w:rsid w:val="00612455"/>
    <w:rsid w:val="006124D6"/>
    <w:rsid w:val="00613C43"/>
    <w:rsid w:val="006171DF"/>
    <w:rsid w:val="00621FD9"/>
    <w:rsid w:val="00625578"/>
    <w:rsid w:val="00630A7F"/>
    <w:rsid w:val="00635979"/>
    <w:rsid w:val="006402C0"/>
    <w:rsid w:val="00641BD0"/>
    <w:rsid w:val="00642982"/>
    <w:rsid w:val="00643C44"/>
    <w:rsid w:val="006458BB"/>
    <w:rsid w:val="00645F1B"/>
    <w:rsid w:val="0064723E"/>
    <w:rsid w:val="006477F4"/>
    <w:rsid w:val="0065176F"/>
    <w:rsid w:val="00655F1C"/>
    <w:rsid w:val="00656A8F"/>
    <w:rsid w:val="00656CBE"/>
    <w:rsid w:val="006612B6"/>
    <w:rsid w:val="00662E51"/>
    <w:rsid w:val="0066411B"/>
    <w:rsid w:val="00667311"/>
    <w:rsid w:val="00667629"/>
    <w:rsid w:val="00674124"/>
    <w:rsid w:val="00674DC9"/>
    <w:rsid w:val="006818BF"/>
    <w:rsid w:val="006829C9"/>
    <w:rsid w:val="00687BAF"/>
    <w:rsid w:val="00690343"/>
    <w:rsid w:val="006926C8"/>
    <w:rsid w:val="00694E1E"/>
    <w:rsid w:val="00695859"/>
    <w:rsid w:val="006A39C5"/>
    <w:rsid w:val="006A48AC"/>
    <w:rsid w:val="006A6731"/>
    <w:rsid w:val="006A6C79"/>
    <w:rsid w:val="006B0BDB"/>
    <w:rsid w:val="006B3F80"/>
    <w:rsid w:val="006B41C7"/>
    <w:rsid w:val="006B472C"/>
    <w:rsid w:val="006B4F36"/>
    <w:rsid w:val="006B6208"/>
    <w:rsid w:val="006C0BE0"/>
    <w:rsid w:val="006C2F50"/>
    <w:rsid w:val="006C34ED"/>
    <w:rsid w:val="006C4478"/>
    <w:rsid w:val="006C5529"/>
    <w:rsid w:val="006C6C12"/>
    <w:rsid w:val="006D02A1"/>
    <w:rsid w:val="006D3175"/>
    <w:rsid w:val="006D7E44"/>
    <w:rsid w:val="006E2ED4"/>
    <w:rsid w:val="006E549B"/>
    <w:rsid w:val="006E6A3D"/>
    <w:rsid w:val="006F11C0"/>
    <w:rsid w:val="006F2249"/>
    <w:rsid w:val="006F4423"/>
    <w:rsid w:val="006F6A84"/>
    <w:rsid w:val="00702F41"/>
    <w:rsid w:val="0070331E"/>
    <w:rsid w:val="00711C64"/>
    <w:rsid w:val="007129BB"/>
    <w:rsid w:val="00713056"/>
    <w:rsid w:val="00714657"/>
    <w:rsid w:val="00716888"/>
    <w:rsid w:val="0072092F"/>
    <w:rsid w:val="00726CD3"/>
    <w:rsid w:val="007367CD"/>
    <w:rsid w:val="00736AE7"/>
    <w:rsid w:val="00736FCC"/>
    <w:rsid w:val="00737001"/>
    <w:rsid w:val="00737CDC"/>
    <w:rsid w:val="00747EDF"/>
    <w:rsid w:val="00752BD6"/>
    <w:rsid w:val="00754AE4"/>
    <w:rsid w:val="00755CFC"/>
    <w:rsid w:val="00762F43"/>
    <w:rsid w:val="00764466"/>
    <w:rsid w:val="00764651"/>
    <w:rsid w:val="00764F68"/>
    <w:rsid w:val="0076597C"/>
    <w:rsid w:val="00770121"/>
    <w:rsid w:val="0077042E"/>
    <w:rsid w:val="007715BB"/>
    <w:rsid w:val="00771CD6"/>
    <w:rsid w:val="00773454"/>
    <w:rsid w:val="0077712A"/>
    <w:rsid w:val="00777E68"/>
    <w:rsid w:val="00782021"/>
    <w:rsid w:val="007824C8"/>
    <w:rsid w:val="00782BDD"/>
    <w:rsid w:val="007857C8"/>
    <w:rsid w:val="007862EE"/>
    <w:rsid w:val="007904E7"/>
    <w:rsid w:val="00791D4E"/>
    <w:rsid w:val="00792BBB"/>
    <w:rsid w:val="00793BD9"/>
    <w:rsid w:val="007957F2"/>
    <w:rsid w:val="007960D4"/>
    <w:rsid w:val="007A0536"/>
    <w:rsid w:val="007A4C5D"/>
    <w:rsid w:val="007B13D7"/>
    <w:rsid w:val="007B298D"/>
    <w:rsid w:val="007B3200"/>
    <w:rsid w:val="007B3219"/>
    <w:rsid w:val="007B3D7A"/>
    <w:rsid w:val="007B4B35"/>
    <w:rsid w:val="007B58A9"/>
    <w:rsid w:val="007C2601"/>
    <w:rsid w:val="007C675C"/>
    <w:rsid w:val="007D3091"/>
    <w:rsid w:val="007D69E9"/>
    <w:rsid w:val="007E0095"/>
    <w:rsid w:val="007E1AC2"/>
    <w:rsid w:val="007E3D9E"/>
    <w:rsid w:val="007E68E0"/>
    <w:rsid w:val="007E69EC"/>
    <w:rsid w:val="007E6D32"/>
    <w:rsid w:val="007F0483"/>
    <w:rsid w:val="007F11E5"/>
    <w:rsid w:val="007F1E10"/>
    <w:rsid w:val="007F49F0"/>
    <w:rsid w:val="007F4EA2"/>
    <w:rsid w:val="007F6966"/>
    <w:rsid w:val="007F7D10"/>
    <w:rsid w:val="00801342"/>
    <w:rsid w:val="008022EC"/>
    <w:rsid w:val="00807E81"/>
    <w:rsid w:val="0081021B"/>
    <w:rsid w:val="00810C51"/>
    <w:rsid w:val="00821987"/>
    <w:rsid w:val="00821D77"/>
    <w:rsid w:val="008224B2"/>
    <w:rsid w:val="00826D46"/>
    <w:rsid w:val="00833A41"/>
    <w:rsid w:val="00834794"/>
    <w:rsid w:val="00834D91"/>
    <w:rsid w:val="00835E13"/>
    <w:rsid w:val="00841F5A"/>
    <w:rsid w:val="0084459A"/>
    <w:rsid w:val="00845026"/>
    <w:rsid w:val="00845482"/>
    <w:rsid w:val="00847136"/>
    <w:rsid w:val="00850F11"/>
    <w:rsid w:val="008563AB"/>
    <w:rsid w:val="00862EC4"/>
    <w:rsid w:val="008643E5"/>
    <w:rsid w:val="00864FF3"/>
    <w:rsid w:val="008672D7"/>
    <w:rsid w:val="00870AB4"/>
    <w:rsid w:val="00874AAE"/>
    <w:rsid w:val="0087573E"/>
    <w:rsid w:val="00876E59"/>
    <w:rsid w:val="0087726F"/>
    <w:rsid w:val="00880402"/>
    <w:rsid w:val="008837A1"/>
    <w:rsid w:val="008844CF"/>
    <w:rsid w:val="0088505A"/>
    <w:rsid w:val="00890DB7"/>
    <w:rsid w:val="00891DFB"/>
    <w:rsid w:val="008924C1"/>
    <w:rsid w:val="008926A2"/>
    <w:rsid w:val="00896A49"/>
    <w:rsid w:val="00897B19"/>
    <w:rsid w:val="008B227D"/>
    <w:rsid w:val="008B2ABD"/>
    <w:rsid w:val="008B2F12"/>
    <w:rsid w:val="008B3C4E"/>
    <w:rsid w:val="008B463D"/>
    <w:rsid w:val="008B57B6"/>
    <w:rsid w:val="008B7DFB"/>
    <w:rsid w:val="008C0F51"/>
    <w:rsid w:val="008C1648"/>
    <w:rsid w:val="008C2F10"/>
    <w:rsid w:val="008C5D8B"/>
    <w:rsid w:val="008D3540"/>
    <w:rsid w:val="008D45B4"/>
    <w:rsid w:val="008D529C"/>
    <w:rsid w:val="008D5507"/>
    <w:rsid w:val="008D5AD2"/>
    <w:rsid w:val="008E250E"/>
    <w:rsid w:val="008E2EAC"/>
    <w:rsid w:val="008E76C7"/>
    <w:rsid w:val="008F03BB"/>
    <w:rsid w:val="008F06DB"/>
    <w:rsid w:val="008F280D"/>
    <w:rsid w:val="008F3829"/>
    <w:rsid w:val="008F4A45"/>
    <w:rsid w:val="008F5FB2"/>
    <w:rsid w:val="00901F72"/>
    <w:rsid w:val="00902A30"/>
    <w:rsid w:val="00905C44"/>
    <w:rsid w:val="00910AE3"/>
    <w:rsid w:val="00911880"/>
    <w:rsid w:val="009142C0"/>
    <w:rsid w:val="00915555"/>
    <w:rsid w:val="0091793F"/>
    <w:rsid w:val="00923087"/>
    <w:rsid w:val="009232F6"/>
    <w:rsid w:val="00926399"/>
    <w:rsid w:val="009308B4"/>
    <w:rsid w:val="00930F0F"/>
    <w:rsid w:val="0093192E"/>
    <w:rsid w:val="00935CCF"/>
    <w:rsid w:val="0093736B"/>
    <w:rsid w:val="00942DD6"/>
    <w:rsid w:val="00950B15"/>
    <w:rsid w:val="00951A4E"/>
    <w:rsid w:val="00952756"/>
    <w:rsid w:val="00954969"/>
    <w:rsid w:val="009617E8"/>
    <w:rsid w:val="00980C04"/>
    <w:rsid w:val="0098105C"/>
    <w:rsid w:val="00992C84"/>
    <w:rsid w:val="009939DB"/>
    <w:rsid w:val="00995367"/>
    <w:rsid w:val="009959E8"/>
    <w:rsid w:val="00996706"/>
    <w:rsid w:val="009A1051"/>
    <w:rsid w:val="009A5CCE"/>
    <w:rsid w:val="009B1B4B"/>
    <w:rsid w:val="009B205F"/>
    <w:rsid w:val="009B2C7D"/>
    <w:rsid w:val="009B41C1"/>
    <w:rsid w:val="009C0195"/>
    <w:rsid w:val="009C4DAF"/>
    <w:rsid w:val="009C6C2C"/>
    <w:rsid w:val="009D1E15"/>
    <w:rsid w:val="009D2DA1"/>
    <w:rsid w:val="009D516A"/>
    <w:rsid w:val="009D732C"/>
    <w:rsid w:val="009D782B"/>
    <w:rsid w:val="009E0EFD"/>
    <w:rsid w:val="009E19D3"/>
    <w:rsid w:val="009E2502"/>
    <w:rsid w:val="009E286F"/>
    <w:rsid w:val="009E6D59"/>
    <w:rsid w:val="009E738F"/>
    <w:rsid w:val="009E74FC"/>
    <w:rsid w:val="009E7535"/>
    <w:rsid w:val="009F2246"/>
    <w:rsid w:val="00A00AC8"/>
    <w:rsid w:val="00A01A1D"/>
    <w:rsid w:val="00A02CB5"/>
    <w:rsid w:val="00A14610"/>
    <w:rsid w:val="00A2066C"/>
    <w:rsid w:val="00A21645"/>
    <w:rsid w:val="00A21CA1"/>
    <w:rsid w:val="00A23924"/>
    <w:rsid w:val="00A27840"/>
    <w:rsid w:val="00A35483"/>
    <w:rsid w:val="00A4342B"/>
    <w:rsid w:val="00A44A60"/>
    <w:rsid w:val="00A4714D"/>
    <w:rsid w:val="00A50B05"/>
    <w:rsid w:val="00A6086E"/>
    <w:rsid w:val="00A63868"/>
    <w:rsid w:val="00A64DEF"/>
    <w:rsid w:val="00A70AEC"/>
    <w:rsid w:val="00A72FAD"/>
    <w:rsid w:val="00A74ED4"/>
    <w:rsid w:val="00A80376"/>
    <w:rsid w:val="00A85539"/>
    <w:rsid w:val="00A87E0A"/>
    <w:rsid w:val="00A90D3F"/>
    <w:rsid w:val="00A941CE"/>
    <w:rsid w:val="00A94A2F"/>
    <w:rsid w:val="00A95D4A"/>
    <w:rsid w:val="00A979E7"/>
    <w:rsid w:val="00AA2C10"/>
    <w:rsid w:val="00AA6523"/>
    <w:rsid w:val="00AB22F8"/>
    <w:rsid w:val="00AB435F"/>
    <w:rsid w:val="00AC13B2"/>
    <w:rsid w:val="00AC3062"/>
    <w:rsid w:val="00AC3EAA"/>
    <w:rsid w:val="00AC4A8E"/>
    <w:rsid w:val="00AC52B1"/>
    <w:rsid w:val="00AD0C8C"/>
    <w:rsid w:val="00AD284F"/>
    <w:rsid w:val="00AD32CE"/>
    <w:rsid w:val="00AE0169"/>
    <w:rsid w:val="00AE08CA"/>
    <w:rsid w:val="00AE4078"/>
    <w:rsid w:val="00AE72AE"/>
    <w:rsid w:val="00AF0A99"/>
    <w:rsid w:val="00AF0F83"/>
    <w:rsid w:val="00AF7A00"/>
    <w:rsid w:val="00B05616"/>
    <w:rsid w:val="00B06CEE"/>
    <w:rsid w:val="00B100DC"/>
    <w:rsid w:val="00B1335C"/>
    <w:rsid w:val="00B1619D"/>
    <w:rsid w:val="00B22E0C"/>
    <w:rsid w:val="00B24DFF"/>
    <w:rsid w:val="00B253A6"/>
    <w:rsid w:val="00B30387"/>
    <w:rsid w:val="00B31BDD"/>
    <w:rsid w:val="00B32E71"/>
    <w:rsid w:val="00B347F7"/>
    <w:rsid w:val="00B37095"/>
    <w:rsid w:val="00B370B2"/>
    <w:rsid w:val="00B40658"/>
    <w:rsid w:val="00B40A40"/>
    <w:rsid w:val="00B4239C"/>
    <w:rsid w:val="00B460F8"/>
    <w:rsid w:val="00B47AC1"/>
    <w:rsid w:val="00B522C7"/>
    <w:rsid w:val="00B53782"/>
    <w:rsid w:val="00B555B4"/>
    <w:rsid w:val="00B56DB9"/>
    <w:rsid w:val="00B61153"/>
    <w:rsid w:val="00B64615"/>
    <w:rsid w:val="00B64E6B"/>
    <w:rsid w:val="00B655CC"/>
    <w:rsid w:val="00B70601"/>
    <w:rsid w:val="00B73987"/>
    <w:rsid w:val="00B77D18"/>
    <w:rsid w:val="00B9452A"/>
    <w:rsid w:val="00B94804"/>
    <w:rsid w:val="00BA188A"/>
    <w:rsid w:val="00BA42E1"/>
    <w:rsid w:val="00BA4D6B"/>
    <w:rsid w:val="00BA511C"/>
    <w:rsid w:val="00BA586D"/>
    <w:rsid w:val="00BB1BB0"/>
    <w:rsid w:val="00BB42B1"/>
    <w:rsid w:val="00BB6523"/>
    <w:rsid w:val="00BC38B2"/>
    <w:rsid w:val="00BD332E"/>
    <w:rsid w:val="00BD5F1F"/>
    <w:rsid w:val="00BE0D84"/>
    <w:rsid w:val="00BF3028"/>
    <w:rsid w:val="00BF4C90"/>
    <w:rsid w:val="00BF6D67"/>
    <w:rsid w:val="00C0162D"/>
    <w:rsid w:val="00C03B71"/>
    <w:rsid w:val="00C10D09"/>
    <w:rsid w:val="00C11357"/>
    <w:rsid w:val="00C16420"/>
    <w:rsid w:val="00C16839"/>
    <w:rsid w:val="00C17F68"/>
    <w:rsid w:val="00C23965"/>
    <w:rsid w:val="00C2642D"/>
    <w:rsid w:val="00C27783"/>
    <w:rsid w:val="00C346DD"/>
    <w:rsid w:val="00C360D7"/>
    <w:rsid w:val="00C400BF"/>
    <w:rsid w:val="00C432DA"/>
    <w:rsid w:val="00C446F5"/>
    <w:rsid w:val="00C46076"/>
    <w:rsid w:val="00C511B7"/>
    <w:rsid w:val="00C52C2B"/>
    <w:rsid w:val="00C537C1"/>
    <w:rsid w:val="00C54B18"/>
    <w:rsid w:val="00C60263"/>
    <w:rsid w:val="00C631ED"/>
    <w:rsid w:val="00C652D6"/>
    <w:rsid w:val="00C65403"/>
    <w:rsid w:val="00C672E5"/>
    <w:rsid w:val="00C7055A"/>
    <w:rsid w:val="00C7071C"/>
    <w:rsid w:val="00C74758"/>
    <w:rsid w:val="00C75C79"/>
    <w:rsid w:val="00C805F9"/>
    <w:rsid w:val="00C80CC0"/>
    <w:rsid w:val="00C829AA"/>
    <w:rsid w:val="00C84E5C"/>
    <w:rsid w:val="00C85A39"/>
    <w:rsid w:val="00C91DF7"/>
    <w:rsid w:val="00CA0742"/>
    <w:rsid w:val="00CA16AD"/>
    <w:rsid w:val="00CB6A86"/>
    <w:rsid w:val="00CB7E25"/>
    <w:rsid w:val="00CC2156"/>
    <w:rsid w:val="00CC38B2"/>
    <w:rsid w:val="00CC5021"/>
    <w:rsid w:val="00CC6BE4"/>
    <w:rsid w:val="00CD1312"/>
    <w:rsid w:val="00CD22F1"/>
    <w:rsid w:val="00CD505E"/>
    <w:rsid w:val="00CD53ED"/>
    <w:rsid w:val="00CD63E8"/>
    <w:rsid w:val="00CE1301"/>
    <w:rsid w:val="00CE3B73"/>
    <w:rsid w:val="00CE4A53"/>
    <w:rsid w:val="00CE6A81"/>
    <w:rsid w:val="00CF0D15"/>
    <w:rsid w:val="00CF1C10"/>
    <w:rsid w:val="00CF2E99"/>
    <w:rsid w:val="00CF3CFC"/>
    <w:rsid w:val="00CF5BC9"/>
    <w:rsid w:val="00CF650F"/>
    <w:rsid w:val="00D03403"/>
    <w:rsid w:val="00D0672C"/>
    <w:rsid w:val="00D10FC9"/>
    <w:rsid w:val="00D128E4"/>
    <w:rsid w:val="00D202BC"/>
    <w:rsid w:val="00D24D12"/>
    <w:rsid w:val="00D267B0"/>
    <w:rsid w:val="00D26A48"/>
    <w:rsid w:val="00D32D77"/>
    <w:rsid w:val="00D349DE"/>
    <w:rsid w:val="00D35008"/>
    <w:rsid w:val="00D36E04"/>
    <w:rsid w:val="00D40614"/>
    <w:rsid w:val="00D41C5B"/>
    <w:rsid w:val="00D42626"/>
    <w:rsid w:val="00D4377F"/>
    <w:rsid w:val="00D53891"/>
    <w:rsid w:val="00D54EDE"/>
    <w:rsid w:val="00D552E4"/>
    <w:rsid w:val="00D55446"/>
    <w:rsid w:val="00D64478"/>
    <w:rsid w:val="00D7202E"/>
    <w:rsid w:val="00D73BB2"/>
    <w:rsid w:val="00D753A6"/>
    <w:rsid w:val="00D8148F"/>
    <w:rsid w:val="00D848FD"/>
    <w:rsid w:val="00D85C9F"/>
    <w:rsid w:val="00D87604"/>
    <w:rsid w:val="00D934D5"/>
    <w:rsid w:val="00D940E3"/>
    <w:rsid w:val="00D96481"/>
    <w:rsid w:val="00D97ABB"/>
    <w:rsid w:val="00DA1BFC"/>
    <w:rsid w:val="00DA71D1"/>
    <w:rsid w:val="00DB1CE3"/>
    <w:rsid w:val="00DB230E"/>
    <w:rsid w:val="00DB5D59"/>
    <w:rsid w:val="00DB7DB9"/>
    <w:rsid w:val="00DC0D1F"/>
    <w:rsid w:val="00DC39E6"/>
    <w:rsid w:val="00DC465B"/>
    <w:rsid w:val="00DC6671"/>
    <w:rsid w:val="00DD33BD"/>
    <w:rsid w:val="00DD4357"/>
    <w:rsid w:val="00DD57A7"/>
    <w:rsid w:val="00DD5C3E"/>
    <w:rsid w:val="00DD65DE"/>
    <w:rsid w:val="00DE7915"/>
    <w:rsid w:val="00DF4022"/>
    <w:rsid w:val="00DF571E"/>
    <w:rsid w:val="00DF5EA2"/>
    <w:rsid w:val="00DF5EEA"/>
    <w:rsid w:val="00DF6474"/>
    <w:rsid w:val="00DF76C1"/>
    <w:rsid w:val="00E023B7"/>
    <w:rsid w:val="00E03AC3"/>
    <w:rsid w:val="00E107CB"/>
    <w:rsid w:val="00E11A57"/>
    <w:rsid w:val="00E12F67"/>
    <w:rsid w:val="00E14496"/>
    <w:rsid w:val="00E1583B"/>
    <w:rsid w:val="00E20932"/>
    <w:rsid w:val="00E27427"/>
    <w:rsid w:val="00E3058E"/>
    <w:rsid w:val="00E33D14"/>
    <w:rsid w:val="00E33D32"/>
    <w:rsid w:val="00E34641"/>
    <w:rsid w:val="00E351D5"/>
    <w:rsid w:val="00E407A5"/>
    <w:rsid w:val="00E40DAB"/>
    <w:rsid w:val="00E4257E"/>
    <w:rsid w:val="00E425EF"/>
    <w:rsid w:val="00E431A9"/>
    <w:rsid w:val="00E452E1"/>
    <w:rsid w:val="00E620F6"/>
    <w:rsid w:val="00E63AB4"/>
    <w:rsid w:val="00E65204"/>
    <w:rsid w:val="00E65DD5"/>
    <w:rsid w:val="00E677FD"/>
    <w:rsid w:val="00E679EC"/>
    <w:rsid w:val="00E70B71"/>
    <w:rsid w:val="00E71D71"/>
    <w:rsid w:val="00E738C8"/>
    <w:rsid w:val="00E738D4"/>
    <w:rsid w:val="00E7429D"/>
    <w:rsid w:val="00E82813"/>
    <w:rsid w:val="00E82FD1"/>
    <w:rsid w:val="00E836E3"/>
    <w:rsid w:val="00E84A76"/>
    <w:rsid w:val="00E84AE5"/>
    <w:rsid w:val="00E852FD"/>
    <w:rsid w:val="00E85840"/>
    <w:rsid w:val="00E86B6F"/>
    <w:rsid w:val="00E93013"/>
    <w:rsid w:val="00E94A46"/>
    <w:rsid w:val="00E95FA4"/>
    <w:rsid w:val="00E9646E"/>
    <w:rsid w:val="00E96644"/>
    <w:rsid w:val="00E97DA7"/>
    <w:rsid w:val="00EA1F8C"/>
    <w:rsid w:val="00EA4C9C"/>
    <w:rsid w:val="00EA521D"/>
    <w:rsid w:val="00EB43BB"/>
    <w:rsid w:val="00ED016A"/>
    <w:rsid w:val="00ED1B02"/>
    <w:rsid w:val="00ED339C"/>
    <w:rsid w:val="00ED50DF"/>
    <w:rsid w:val="00ED6ABB"/>
    <w:rsid w:val="00ED71E3"/>
    <w:rsid w:val="00ED7545"/>
    <w:rsid w:val="00EE13CA"/>
    <w:rsid w:val="00EE4B4A"/>
    <w:rsid w:val="00EE5125"/>
    <w:rsid w:val="00EE5CA0"/>
    <w:rsid w:val="00EF09DB"/>
    <w:rsid w:val="00EF1783"/>
    <w:rsid w:val="00EF3DE4"/>
    <w:rsid w:val="00EF6180"/>
    <w:rsid w:val="00EF6E9A"/>
    <w:rsid w:val="00EF7AFC"/>
    <w:rsid w:val="00EF7F88"/>
    <w:rsid w:val="00F01523"/>
    <w:rsid w:val="00F05438"/>
    <w:rsid w:val="00F11A55"/>
    <w:rsid w:val="00F12DF1"/>
    <w:rsid w:val="00F13606"/>
    <w:rsid w:val="00F145D6"/>
    <w:rsid w:val="00F20436"/>
    <w:rsid w:val="00F21D39"/>
    <w:rsid w:val="00F22C3E"/>
    <w:rsid w:val="00F23378"/>
    <w:rsid w:val="00F24CFA"/>
    <w:rsid w:val="00F3570E"/>
    <w:rsid w:val="00F35820"/>
    <w:rsid w:val="00F411D2"/>
    <w:rsid w:val="00F43DCD"/>
    <w:rsid w:val="00F44E55"/>
    <w:rsid w:val="00F45986"/>
    <w:rsid w:val="00F46E64"/>
    <w:rsid w:val="00F521C1"/>
    <w:rsid w:val="00F54CA6"/>
    <w:rsid w:val="00F567F4"/>
    <w:rsid w:val="00F56C1C"/>
    <w:rsid w:val="00F56EA5"/>
    <w:rsid w:val="00F61FBE"/>
    <w:rsid w:val="00F63D7E"/>
    <w:rsid w:val="00F63FC2"/>
    <w:rsid w:val="00F6485C"/>
    <w:rsid w:val="00F6491E"/>
    <w:rsid w:val="00F7010C"/>
    <w:rsid w:val="00F70636"/>
    <w:rsid w:val="00F70A35"/>
    <w:rsid w:val="00F7168D"/>
    <w:rsid w:val="00F7197A"/>
    <w:rsid w:val="00F71EE7"/>
    <w:rsid w:val="00F732A7"/>
    <w:rsid w:val="00F7747F"/>
    <w:rsid w:val="00F80C50"/>
    <w:rsid w:val="00F80F12"/>
    <w:rsid w:val="00F83633"/>
    <w:rsid w:val="00F86319"/>
    <w:rsid w:val="00F9033C"/>
    <w:rsid w:val="00F91E11"/>
    <w:rsid w:val="00F94F21"/>
    <w:rsid w:val="00FA001B"/>
    <w:rsid w:val="00FA23B0"/>
    <w:rsid w:val="00FA24A1"/>
    <w:rsid w:val="00FA2729"/>
    <w:rsid w:val="00FA6FF7"/>
    <w:rsid w:val="00FB0C4E"/>
    <w:rsid w:val="00FB2D86"/>
    <w:rsid w:val="00FB414D"/>
    <w:rsid w:val="00FB4C6B"/>
    <w:rsid w:val="00FB6F4B"/>
    <w:rsid w:val="00FC061F"/>
    <w:rsid w:val="00FC1AEB"/>
    <w:rsid w:val="00FC1ECE"/>
    <w:rsid w:val="00FC2091"/>
    <w:rsid w:val="00FC2FFD"/>
    <w:rsid w:val="00FC5E88"/>
    <w:rsid w:val="00FD1F2C"/>
    <w:rsid w:val="00FD252A"/>
    <w:rsid w:val="00FD4491"/>
    <w:rsid w:val="00FD4AB3"/>
    <w:rsid w:val="00FE3D1A"/>
    <w:rsid w:val="00FE42C1"/>
    <w:rsid w:val="00FF3298"/>
    <w:rsid w:val="00FF3856"/>
    <w:rsid w:val="00FF3B4D"/>
    <w:rsid w:val="00FF59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F3A95"/>
  <w15:docId w15:val="{589E2CA6-936F-469D-9543-B88980859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B6F"/>
    <w:pPr>
      <w:contextualSpacing/>
    </w:pPr>
    <w:rPr>
      <w:rFonts w:ascii="Arial" w:hAnsi="Arial" w:cs="Arial"/>
      <w:sz w:val="24"/>
      <w:szCs w:val="22"/>
    </w:rPr>
  </w:style>
  <w:style w:type="paragraph" w:styleId="Heading1">
    <w:name w:val="heading 1"/>
    <w:basedOn w:val="Normal"/>
    <w:next w:val="Normal"/>
    <w:link w:val="Heading1Char"/>
    <w:uiPriority w:val="9"/>
    <w:qFormat/>
    <w:rsid w:val="00890DB7"/>
    <w:pPr>
      <w:outlineLvl w:val="0"/>
    </w:pPr>
    <w:rPr>
      <w:color w:val="0072C6"/>
      <w:sz w:val="48"/>
      <w:szCs w:val="48"/>
    </w:rPr>
  </w:style>
  <w:style w:type="paragraph" w:styleId="Heading2">
    <w:name w:val="heading 2"/>
    <w:aliases w:val="Table Heading"/>
    <w:basedOn w:val="Normal"/>
    <w:next w:val="Normal"/>
    <w:link w:val="Heading2Char"/>
    <w:uiPriority w:val="9"/>
    <w:unhideWhenUsed/>
    <w:qFormat/>
    <w:rsid w:val="00890DB7"/>
    <w:pPr>
      <w:outlineLvl w:val="1"/>
    </w:pPr>
    <w:rPr>
      <w:b/>
      <w:color w:val="0072C6"/>
      <w:sz w:val="18"/>
      <w:szCs w:val="18"/>
    </w:rPr>
  </w:style>
  <w:style w:type="paragraph" w:styleId="Heading3">
    <w:name w:val="heading 3"/>
    <w:aliases w:val="Front Page heading"/>
    <w:basedOn w:val="Heading1"/>
    <w:next w:val="Normal"/>
    <w:link w:val="Heading3Char"/>
    <w:uiPriority w:val="9"/>
    <w:unhideWhenUsed/>
    <w:qFormat/>
    <w:rsid w:val="00890DB7"/>
    <w:pPr>
      <w:outlineLvl w:val="2"/>
    </w:pPr>
    <w:rPr>
      <w:b/>
      <w:sz w:val="56"/>
      <w:szCs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0436"/>
    <w:pPr>
      <w:tabs>
        <w:tab w:val="center" w:pos="4513"/>
        <w:tab w:val="right" w:pos="9026"/>
      </w:tabs>
    </w:pPr>
  </w:style>
  <w:style w:type="character" w:customStyle="1" w:styleId="HeaderChar">
    <w:name w:val="Header Char"/>
    <w:basedOn w:val="DefaultParagraphFont"/>
    <w:link w:val="Header"/>
    <w:uiPriority w:val="99"/>
    <w:rsid w:val="00F20436"/>
  </w:style>
  <w:style w:type="paragraph" w:styleId="Footer">
    <w:name w:val="footer"/>
    <w:basedOn w:val="Normal"/>
    <w:link w:val="FooterChar"/>
    <w:uiPriority w:val="99"/>
    <w:unhideWhenUsed/>
    <w:rsid w:val="00F20436"/>
    <w:pPr>
      <w:tabs>
        <w:tab w:val="center" w:pos="4513"/>
        <w:tab w:val="right" w:pos="9026"/>
      </w:tabs>
    </w:pPr>
  </w:style>
  <w:style w:type="character" w:customStyle="1" w:styleId="FooterChar">
    <w:name w:val="Footer Char"/>
    <w:basedOn w:val="DefaultParagraphFont"/>
    <w:link w:val="Footer"/>
    <w:uiPriority w:val="99"/>
    <w:rsid w:val="00F20436"/>
  </w:style>
  <w:style w:type="table" w:styleId="TableGrid">
    <w:name w:val="Table Grid"/>
    <w:basedOn w:val="TableNormal"/>
    <w:uiPriority w:val="59"/>
    <w:rsid w:val="00835E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Normal 9pt"/>
    <w:basedOn w:val="Normal"/>
    <w:uiPriority w:val="1"/>
    <w:qFormat/>
    <w:rsid w:val="00890DB7"/>
    <w:rPr>
      <w:sz w:val="18"/>
      <w:szCs w:val="18"/>
    </w:rPr>
  </w:style>
  <w:style w:type="character" w:customStyle="1" w:styleId="Heading1Char">
    <w:name w:val="Heading 1 Char"/>
    <w:link w:val="Heading1"/>
    <w:uiPriority w:val="9"/>
    <w:rsid w:val="00890DB7"/>
    <w:rPr>
      <w:rFonts w:ascii="Arial" w:hAnsi="Arial" w:cs="Arial"/>
      <w:color w:val="0072C6"/>
      <w:sz w:val="48"/>
      <w:szCs w:val="48"/>
    </w:rPr>
  </w:style>
  <w:style w:type="character" w:customStyle="1" w:styleId="Heading2Char">
    <w:name w:val="Heading 2 Char"/>
    <w:aliases w:val="Table Heading Char"/>
    <w:link w:val="Heading2"/>
    <w:uiPriority w:val="9"/>
    <w:rsid w:val="00890DB7"/>
    <w:rPr>
      <w:rFonts w:ascii="Arial" w:hAnsi="Arial" w:cs="Arial"/>
      <w:b/>
      <w:color w:val="0072C6"/>
      <w:sz w:val="18"/>
      <w:szCs w:val="18"/>
    </w:rPr>
  </w:style>
  <w:style w:type="character" w:customStyle="1" w:styleId="Heading3Char">
    <w:name w:val="Heading 3 Char"/>
    <w:aliases w:val="Front Page heading Char"/>
    <w:link w:val="Heading3"/>
    <w:uiPriority w:val="9"/>
    <w:rsid w:val="00890DB7"/>
    <w:rPr>
      <w:rFonts w:ascii="Arial" w:hAnsi="Arial" w:cs="Arial"/>
      <w:b/>
      <w:color w:val="0072C6"/>
      <w:sz w:val="56"/>
      <w:szCs w:val="56"/>
    </w:rPr>
  </w:style>
  <w:style w:type="paragraph" w:styleId="ListParagraph">
    <w:name w:val="List Paragraph"/>
    <w:aliases w:val="Numbers"/>
    <w:basedOn w:val="Normal"/>
    <w:uiPriority w:val="34"/>
    <w:qFormat/>
    <w:rsid w:val="00890DB7"/>
    <w:rPr>
      <w:b/>
      <w:color w:val="0072C6" w:themeColor="text2"/>
    </w:rPr>
  </w:style>
  <w:style w:type="paragraph" w:customStyle="1" w:styleId="BlueBulletList">
    <w:name w:val="Blue Bullet List"/>
    <w:basedOn w:val="NoSpacing"/>
    <w:qFormat/>
    <w:rsid w:val="00890DB7"/>
    <w:pPr>
      <w:numPr>
        <w:numId w:val="1"/>
      </w:numPr>
    </w:pPr>
  </w:style>
  <w:style w:type="paragraph" w:styleId="BalloonText">
    <w:name w:val="Balloon Text"/>
    <w:basedOn w:val="Normal"/>
    <w:link w:val="BalloonTextChar"/>
    <w:uiPriority w:val="99"/>
    <w:semiHidden/>
    <w:unhideWhenUsed/>
    <w:rsid w:val="00A87E0A"/>
    <w:rPr>
      <w:rFonts w:ascii="Tahoma" w:hAnsi="Tahoma" w:cs="Tahoma"/>
      <w:sz w:val="16"/>
      <w:szCs w:val="16"/>
    </w:rPr>
  </w:style>
  <w:style w:type="character" w:customStyle="1" w:styleId="BalloonTextChar">
    <w:name w:val="Balloon Text Char"/>
    <w:basedOn w:val="DefaultParagraphFont"/>
    <w:link w:val="BalloonText"/>
    <w:uiPriority w:val="99"/>
    <w:semiHidden/>
    <w:rsid w:val="00A87E0A"/>
    <w:rPr>
      <w:rFonts w:ascii="Tahoma" w:hAnsi="Tahoma" w:cs="Tahoma"/>
      <w:color w:val="39545A"/>
      <w:sz w:val="16"/>
      <w:szCs w:val="16"/>
    </w:rPr>
  </w:style>
  <w:style w:type="paragraph" w:styleId="NormalWeb">
    <w:name w:val="Normal (Web)"/>
    <w:basedOn w:val="Normal"/>
    <w:uiPriority w:val="99"/>
    <w:semiHidden/>
    <w:unhideWhenUsed/>
    <w:rsid w:val="00A87E0A"/>
    <w:pPr>
      <w:spacing w:before="100" w:beforeAutospacing="1" w:after="100" w:afterAutospacing="1"/>
    </w:pPr>
    <w:rPr>
      <w:rFonts w:ascii="Times New Roman" w:eastAsiaTheme="minorEastAsia" w:hAnsi="Times New Roman" w:cs="Times New Roman"/>
      <w:szCs w:val="24"/>
    </w:rPr>
  </w:style>
  <w:style w:type="paragraph" w:customStyle="1" w:styleId="ReportLetter">
    <w:name w:val="Report Letter"/>
    <w:basedOn w:val="Normal"/>
    <w:qFormat/>
    <w:rsid w:val="00890DB7"/>
    <w:pPr>
      <w:jc w:val="center"/>
    </w:pPr>
    <w:rPr>
      <w:rFonts w:eastAsia="Times New Roman"/>
      <w:b/>
      <w:sz w:val="144"/>
      <w:szCs w:val="144"/>
    </w:rPr>
  </w:style>
  <w:style w:type="paragraph" w:customStyle="1" w:styleId="ReportHeader1">
    <w:name w:val="Report Header 1"/>
    <w:basedOn w:val="Normal"/>
    <w:qFormat/>
    <w:rsid w:val="00890DB7"/>
    <w:pPr>
      <w:keepLines/>
      <w:framePr w:hSpace="181" w:wrap="around" w:vAnchor="text" w:hAnchor="margin" w:xAlign="center" w:y="1796"/>
      <w:suppressOverlap/>
    </w:pPr>
    <w:rPr>
      <w:rFonts w:eastAsia="Times New Roman"/>
      <w:b/>
      <w:sz w:val="28"/>
      <w:szCs w:val="28"/>
    </w:rPr>
  </w:style>
  <w:style w:type="character" w:styleId="Hyperlink">
    <w:name w:val="Hyperlink"/>
    <w:basedOn w:val="DefaultParagraphFont"/>
    <w:uiPriority w:val="99"/>
    <w:unhideWhenUsed/>
    <w:rsid w:val="00C10D09"/>
    <w:rPr>
      <w:color w:val="0072C6" w:themeColor="hyperlink"/>
      <w:u w:val="single"/>
    </w:rPr>
  </w:style>
  <w:style w:type="paragraph" w:customStyle="1" w:styleId="Default">
    <w:name w:val="Default"/>
    <w:rsid w:val="00C10D09"/>
    <w:pPr>
      <w:autoSpaceDE w:val="0"/>
      <w:autoSpaceDN w:val="0"/>
      <w:adjustRightInd w:val="0"/>
    </w:pPr>
    <w:rPr>
      <w:rFonts w:ascii="Arial" w:hAnsi="Arial" w:cs="Arial"/>
      <w:color w:val="000000"/>
      <w:sz w:val="24"/>
      <w:szCs w:val="24"/>
    </w:rPr>
  </w:style>
  <w:style w:type="paragraph" w:customStyle="1" w:styleId="ReportBullet1">
    <w:name w:val="Report Bullet 1"/>
    <w:basedOn w:val="Normal"/>
    <w:qFormat/>
    <w:rsid w:val="00890DB7"/>
    <w:pPr>
      <w:numPr>
        <w:numId w:val="2"/>
      </w:numPr>
    </w:pPr>
    <w:rPr>
      <w:rFonts w:eastAsia="Times New Roman"/>
      <w:b/>
      <w:szCs w:val="24"/>
      <w:u w:val="single"/>
    </w:rPr>
  </w:style>
  <w:style w:type="character" w:styleId="FollowedHyperlink">
    <w:name w:val="FollowedHyperlink"/>
    <w:basedOn w:val="DefaultParagraphFont"/>
    <w:uiPriority w:val="99"/>
    <w:semiHidden/>
    <w:unhideWhenUsed/>
    <w:rsid w:val="00923087"/>
    <w:rPr>
      <w:color w:val="954F72" w:themeColor="followedHyperlink"/>
      <w:u w:val="single"/>
    </w:rPr>
  </w:style>
  <w:style w:type="paragraph" w:styleId="BodyTextIndent3">
    <w:name w:val="Body Text Indent 3"/>
    <w:basedOn w:val="Normal"/>
    <w:link w:val="BodyTextIndent3Char"/>
    <w:rsid w:val="007367CD"/>
    <w:pPr>
      <w:tabs>
        <w:tab w:val="left" w:pos="6435"/>
      </w:tabs>
      <w:ind w:left="360"/>
      <w:jc w:val="both"/>
    </w:pPr>
    <w:rPr>
      <w:rFonts w:eastAsia="Times New Roman"/>
      <w:sz w:val="28"/>
      <w:szCs w:val="24"/>
    </w:rPr>
  </w:style>
  <w:style w:type="character" w:customStyle="1" w:styleId="BodyTextIndent3Char">
    <w:name w:val="Body Text Indent 3 Char"/>
    <w:basedOn w:val="DefaultParagraphFont"/>
    <w:link w:val="BodyTextIndent3"/>
    <w:rsid w:val="007367CD"/>
    <w:rPr>
      <w:rFonts w:ascii="Arial" w:eastAsia="Times New Roman" w:hAnsi="Arial" w:cs="Arial"/>
      <w:sz w:val="28"/>
      <w:szCs w:val="24"/>
      <w:lang w:val="en-GB"/>
    </w:rPr>
  </w:style>
  <w:style w:type="table" w:styleId="LightShading-Accent4">
    <w:name w:val="Light Shading Accent 4"/>
    <w:basedOn w:val="TableNormal"/>
    <w:uiPriority w:val="60"/>
    <w:rsid w:val="00DC0D1F"/>
    <w:rPr>
      <w:color w:val="00296E" w:themeColor="accent4" w:themeShade="BF"/>
    </w:rPr>
    <w:tblPr>
      <w:tblStyleRowBandSize w:val="1"/>
      <w:tblStyleColBandSize w:val="1"/>
      <w:tblBorders>
        <w:top w:val="single" w:sz="8" w:space="0" w:color="003893" w:themeColor="accent4"/>
        <w:bottom w:val="single" w:sz="8" w:space="0" w:color="003893" w:themeColor="accent4"/>
      </w:tblBorders>
    </w:tblPr>
    <w:tblStylePr w:type="firstRow">
      <w:pPr>
        <w:spacing w:before="0" w:after="0" w:line="240" w:lineRule="auto"/>
      </w:pPr>
      <w:rPr>
        <w:b/>
        <w:bCs/>
      </w:rPr>
      <w:tblPr/>
      <w:tcPr>
        <w:tcBorders>
          <w:top w:val="single" w:sz="8" w:space="0" w:color="003893" w:themeColor="accent4"/>
          <w:left w:val="nil"/>
          <w:bottom w:val="single" w:sz="8" w:space="0" w:color="003893" w:themeColor="accent4"/>
          <w:right w:val="nil"/>
          <w:insideH w:val="nil"/>
          <w:insideV w:val="nil"/>
        </w:tcBorders>
      </w:tcPr>
    </w:tblStylePr>
    <w:tblStylePr w:type="lastRow">
      <w:pPr>
        <w:spacing w:before="0" w:after="0" w:line="240" w:lineRule="auto"/>
      </w:pPr>
      <w:rPr>
        <w:b/>
        <w:bCs/>
      </w:rPr>
      <w:tblPr/>
      <w:tcPr>
        <w:tcBorders>
          <w:top w:val="single" w:sz="8" w:space="0" w:color="003893" w:themeColor="accent4"/>
          <w:left w:val="nil"/>
          <w:bottom w:val="single" w:sz="8" w:space="0" w:color="00389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C7FF" w:themeFill="accent4" w:themeFillTint="3F"/>
      </w:tcPr>
    </w:tblStylePr>
    <w:tblStylePr w:type="band1Horz">
      <w:tblPr/>
      <w:tcPr>
        <w:tcBorders>
          <w:left w:val="nil"/>
          <w:right w:val="nil"/>
          <w:insideH w:val="nil"/>
          <w:insideV w:val="nil"/>
        </w:tcBorders>
        <w:shd w:val="clear" w:color="auto" w:fill="A5C7FF" w:themeFill="accent4" w:themeFillTint="3F"/>
      </w:tcPr>
    </w:tblStylePr>
  </w:style>
  <w:style w:type="paragraph" w:styleId="Revision">
    <w:name w:val="Revision"/>
    <w:hidden/>
    <w:uiPriority w:val="99"/>
    <w:semiHidden/>
    <w:rsid w:val="00DF4022"/>
    <w:rPr>
      <w:rFonts w:ascii="Arial" w:hAnsi="Arial" w:cs="Arial"/>
      <w:sz w:val="24"/>
      <w:szCs w:val="22"/>
    </w:rPr>
  </w:style>
  <w:style w:type="character" w:styleId="CommentReference">
    <w:name w:val="annotation reference"/>
    <w:basedOn w:val="DefaultParagraphFont"/>
    <w:uiPriority w:val="99"/>
    <w:semiHidden/>
    <w:unhideWhenUsed/>
    <w:rsid w:val="00DF4022"/>
    <w:rPr>
      <w:sz w:val="16"/>
      <w:szCs w:val="16"/>
    </w:rPr>
  </w:style>
  <w:style w:type="paragraph" w:styleId="CommentText">
    <w:name w:val="annotation text"/>
    <w:basedOn w:val="Normal"/>
    <w:link w:val="CommentTextChar"/>
    <w:uiPriority w:val="99"/>
    <w:unhideWhenUsed/>
    <w:rsid w:val="00DF4022"/>
    <w:rPr>
      <w:sz w:val="20"/>
      <w:szCs w:val="20"/>
    </w:rPr>
  </w:style>
  <w:style w:type="character" w:customStyle="1" w:styleId="CommentTextChar">
    <w:name w:val="Comment Text Char"/>
    <w:basedOn w:val="DefaultParagraphFont"/>
    <w:link w:val="CommentText"/>
    <w:uiPriority w:val="99"/>
    <w:rsid w:val="00DF4022"/>
    <w:rPr>
      <w:rFonts w:ascii="Arial" w:hAnsi="Arial" w:cs="Arial"/>
    </w:rPr>
  </w:style>
  <w:style w:type="paragraph" w:styleId="CommentSubject">
    <w:name w:val="annotation subject"/>
    <w:basedOn w:val="CommentText"/>
    <w:next w:val="CommentText"/>
    <w:link w:val="CommentSubjectChar"/>
    <w:uiPriority w:val="99"/>
    <w:semiHidden/>
    <w:unhideWhenUsed/>
    <w:rsid w:val="00DF4022"/>
    <w:rPr>
      <w:b/>
      <w:bCs/>
    </w:rPr>
  </w:style>
  <w:style w:type="character" w:customStyle="1" w:styleId="CommentSubjectChar">
    <w:name w:val="Comment Subject Char"/>
    <w:basedOn w:val="CommentTextChar"/>
    <w:link w:val="CommentSubject"/>
    <w:uiPriority w:val="99"/>
    <w:semiHidden/>
    <w:rsid w:val="00DF4022"/>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047339">
      <w:bodyDiv w:val="1"/>
      <w:marLeft w:val="0"/>
      <w:marRight w:val="0"/>
      <w:marTop w:val="0"/>
      <w:marBottom w:val="0"/>
      <w:divBdr>
        <w:top w:val="none" w:sz="0" w:space="0" w:color="auto"/>
        <w:left w:val="none" w:sz="0" w:space="0" w:color="auto"/>
        <w:bottom w:val="none" w:sz="0" w:space="0" w:color="auto"/>
        <w:right w:val="none" w:sz="0" w:space="0" w:color="auto"/>
      </w:divBdr>
    </w:div>
    <w:div w:id="2089618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Custom 14">
      <a:dk1>
        <a:srgbClr val="39545A"/>
      </a:dk1>
      <a:lt1>
        <a:srgbClr val="FFFFFF"/>
      </a:lt1>
      <a:dk2>
        <a:srgbClr val="0072C6"/>
      </a:dk2>
      <a:lt2>
        <a:srgbClr val="E7E6E6"/>
      </a:lt2>
      <a:accent1>
        <a:srgbClr val="5BBF21"/>
      </a:accent1>
      <a:accent2>
        <a:srgbClr val="0090D3"/>
      </a:accent2>
      <a:accent3>
        <a:srgbClr val="0091C9"/>
      </a:accent3>
      <a:accent4>
        <a:srgbClr val="003893"/>
      </a:accent4>
      <a:accent5>
        <a:srgbClr val="422B74"/>
      </a:accent5>
      <a:accent6>
        <a:srgbClr val="AD1D6C"/>
      </a:accent6>
      <a:hlink>
        <a:srgbClr val="0072C6"/>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F2202-7CA0-487A-9BF7-9081FE4F7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832</Words>
  <Characters>4746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South Tees Hospitals NHS Foundation Trust</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Clement, Emma</dc:creator>
  <cp:lastModifiedBy>GOLDING, Virginia (YORK AND SCARBOROUGH TEACHING HOSPITALS NHS FOUNDATION TRUST)</cp:lastModifiedBy>
  <cp:revision>4</cp:revision>
  <dcterms:created xsi:type="dcterms:W3CDTF">2025-10-06T08:56:00Z</dcterms:created>
  <dcterms:modified xsi:type="dcterms:W3CDTF">2025-10-20T12:40:00Z</dcterms:modified>
</cp:coreProperties>
</file>