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72D3C" w14:textId="77777777" w:rsidR="004F5555" w:rsidRDefault="004F5555" w:rsidP="00FB30F5">
      <w:pPr>
        <w:ind w:left="360"/>
        <w:rPr>
          <w:b/>
          <w:bCs/>
          <w:szCs w:val="24"/>
        </w:rPr>
      </w:pPr>
    </w:p>
    <w:p w14:paraId="29D652A4" w14:textId="77777777" w:rsidR="004F5555" w:rsidRDefault="004F5555" w:rsidP="00FB30F5">
      <w:pPr>
        <w:ind w:left="360"/>
        <w:rPr>
          <w:b/>
          <w:bCs/>
          <w:szCs w:val="24"/>
        </w:rPr>
      </w:pPr>
    </w:p>
    <w:p w14:paraId="428C70E7" w14:textId="77777777" w:rsidR="004F5555" w:rsidRDefault="004F5555" w:rsidP="00FB30F5">
      <w:pPr>
        <w:ind w:left="360"/>
        <w:rPr>
          <w:b/>
          <w:bCs/>
          <w:szCs w:val="24"/>
        </w:rPr>
      </w:pPr>
    </w:p>
    <w:p w14:paraId="01C39258" w14:textId="1E2D1507" w:rsidR="00FB30F5" w:rsidRDefault="004F5555" w:rsidP="00FB30F5">
      <w:pPr>
        <w:ind w:left="360"/>
        <w:rPr>
          <w:b/>
          <w:bCs/>
          <w:szCs w:val="24"/>
        </w:rPr>
      </w:pPr>
      <w:r w:rsidRPr="008543D5">
        <w:rPr>
          <w:noProof/>
        </w:rPr>
        <w:drawing>
          <wp:anchor distT="0" distB="0" distL="114300" distR="114300" simplePos="0" relativeHeight="251659264" behindDoc="0" locked="0" layoutInCell="1" allowOverlap="1" wp14:anchorId="5359172F" wp14:editId="506A3BAD">
            <wp:simplePos x="0" y="0"/>
            <wp:positionH relativeFrom="column">
              <wp:posOffset>4334608</wp:posOffset>
            </wp:positionH>
            <wp:positionV relativeFrom="page">
              <wp:posOffset>68824</wp:posOffset>
            </wp:positionV>
            <wp:extent cx="2325370" cy="10033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370" cy="1003300"/>
                    </a:xfrm>
                    <a:prstGeom prst="rect">
                      <a:avLst/>
                    </a:prstGeom>
                  </pic:spPr>
                </pic:pic>
              </a:graphicData>
            </a:graphic>
            <wp14:sizeRelH relativeFrom="margin">
              <wp14:pctWidth>0</wp14:pctWidth>
            </wp14:sizeRelH>
            <wp14:sizeRelV relativeFrom="margin">
              <wp14:pctHeight>0</wp14:pctHeight>
            </wp14:sizeRelV>
          </wp:anchor>
        </w:drawing>
      </w:r>
    </w:p>
    <w:p w14:paraId="15F07CBB" w14:textId="6E6FAD33" w:rsidR="00CA16AD" w:rsidRPr="00FB30F5" w:rsidRDefault="00FB30F5" w:rsidP="00FB30F5">
      <w:pPr>
        <w:pStyle w:val="ListParagraph"/>
        <w:numPr>
          <w:ilvl w:val="0"/>
          <w:numId w:val="8"/>
        </w:numPr>
        <w:rPr>
          <w:bCs/>
          <w:szCs w:val="24"/>
        </w:rPr>
      </w:pPr>
      <w:r w:rsidRPr="00FB30F5">
        <w:rPr>
          <w:bCs/>
          <w:szCs w:val="24"/>
        </w:rPr>
        <w:t>I</w:t>
      </w:r>
      <w:r w:rsidR="00CA16AD" w:rsidRPr="00FB30F5">
        <w:rPr>
          <w:bCs/>
          <w:szCs w:val="24"/>
        </w:rPr>
        <w:t>ntroduction and Background</w:t>
      </w:r>
    </w:p>
    <w:p w14:paraId="45EDCA34" w14:textId="77777777" w:rsidR="00CA16AD" w:rsidRDefault="00CA16AD" w:rsidP="00CA16AD">
      <w:pPr>
        <w:rPr>
          <w:bCs/>
          <w:szCs w:val="24"/>
        </w:rPr>
      </w:pPr>
    </w:p>
    <w:p w14:paraId="66327AF8" w14:textId="77777777" w:rsidR="00D22CFC" w:rsidRDefault="00D22CFC" w:rsidP="00130757">
      <w:pPr>
        <w:pStyle w:val="NormalWeb"/>
        <w:shd w:val="clear" w:color="auto" w:fill="FFFFFF"/>
        <w:spacing w:before="0" w:beforeAutospacing="0" w:after="0" w:afterAutospacing="0"/>
        <w:textAlignment w:val="baseline"/>
        <w:rPr>
          <w:rFonts w:asciiTheme="minorHAnsi" w:hAnsiTheme="minorHAnsi" w:cstheme="minorHAnsi"/>
        </w:rPr>
      </w:pPr>
    </w:p>
    <w:p w14:paraId="7B418D88" w14:textId="390BDD23" w:rsidR="00AF092B" w:rsidRPr="00AF092B" w:rsidRDefault="00F52848" w:rsidP="00AF092B">
      <w:pPr>
        <w:pStyle w:val="NormalWeb"/>
        <w:shd w:val="clear" w:color="auto" w:fill="FFFFFF"/>
        <w:textAlignment w:val="baseline"/>
        <w:rPr>
          <w:rFonts w:asciiTheme="minorHAnsi" w:hAnsiTheme="minorHAnsi" w:cstheme="minorHAnsi"/>
          <w:bCs/>
        </w:rPr>
      </w:pPr>
      <w:r>
        <w:rPr>
          <w:rFonts w:asciiTheme="minorHAnsi" w:hAnsiTheme="minorHAnsi" w:cstheme="minorHAnsi"/>
        </w:rPr>
        <w:t xml:space="preserve">This report provides a summary of the </w:t>
      </w:r>
      <w:r w:rsidRPr="00F52848">
        <w:rPr>
          <w:rFonts w:asciiTheme="minorHAnsi" w:hAnsiTheme="minorHAnsi" w:cstheme="minorHAnsi"/>
        </w:rPr>
        <w:t xml:space="preserve">data analysis </w:t>
      </w:r>
      <w:r>
        <w:rPr>
          <w:rFonts w:asciiTheme="minorHAnsi" w:hAnsiTheme="minorHAnsi" w:cstheme="minorHAnsi"/>
        </w:rPr>
        <w:t xml:space="preserve">of pay </w:t>
      </w:r>
      <w:r w:rsidRPr="00F52848">
        <w:rPr>
          <w:rFonts w:asciiTheme="minorHAnsi" w:hAnsiTheme="minorHAnsi" w:cstheme="minorHAnsi"/>
        </w:rPr>
        <w:t>for York and Scarborough Teaching Hospitals, including York and Scarborough Facilities Management colleagues</w:t>
      </w:r>
      <w:r>
        <w:rPr>
          <w:rFonts w:asciiTheme="minorHAnsi" w:hAnsiTheme="minorHAnsi" w:cstheme="minorHAnsi"/>
        </w:rPr>
        <w:t xml:space="preserve">. </w:t>
      </w:r>
      <w:r w:rsidR="00AF092B" w:rsidRPr="00AF092B">
        <w:rPr>
          <w:rFonts w:asciiTheme="minorHAnsi" w:hAnsiTheme="minorHAnsi" w:cstheme="minorHAnsi"/>
          <w:bCs/>
        </w:rPr>
        <w:t xml:space="preserve">Gender Pay Gap (GPG) analysis is required by legislation and is </w:t>
      </w:r>
      <w:r w:rsidR="00AF092B">
        <w:rPr>
          <w:rFonts w:asciiTheme="minorHAnsi" w:hAnsiTheme="minorHAnsi" w:cstheme="minorHAnsi"/>
          <w:bCs/>
        </w:rPr>
        <w:t xml:space="preserve">presented </w:t>
      </w:r>
      <w:r w:rsidR="00AF092B" w:rsidRPr="00AF092B">
        <w:rPr>
          <w:rFonts w:asciiTheme="minorHAnsi" w:hAnsiTheme="minorHAnsi" w:cstheme="minorHAnsi"/>
          <w:bCs/>
        </w:rPr>
        <w:t xml:space="preserve">in advance of the March 2026 deadline.  </w:t>
      </w:r>
      <w:r w:rsidR="00AF092B" w:rsidRPr="00AF092B">
        <w:rPr>
          <w:rFonts w:asciiTheme="minorHAnsi" w:hAnsiTheme="minorHAnsi" w:cstheme="minorHAnsi"/>
        </w:rPr>
        <w:t xml:space="preserve">The data snapshot date for both </w:t>
      </w:r>
      <w:r w:rsidR="00AF092B">
        <w:rPr>
          <w:rFonts w:asciiTheme="minorHAnsi" w:hAnsiTheme="minorHAnsi" w:cstheme="minorHAnsi"/>
        </w:rPr>
        <w:t xml:space="preserve">Gender and Ethnicity </w:t>
      </w:r>
      <w:r w:rsidR="00AF092B" w:rsidRPr="00AF092B">
        <w:rPr>
          <w:rFonts w:asciiTheme="minorHAnsi" w:hAnsiTheme="minorHAnsi" w:cstheme="minorHAnsi"/>
        </w:rPr>
        <w:t xml:space="preserve">pay gaps was 31 March 2025. </w:t>
      </w:r>
    </w:p>
    <w:p w14:paraId="1CDF8CF9" w14:textId="77777777" w:rsidR="00AF092B" w:rsidRPr="00AF092B" w:rsidRDefault="00AF092B" w:rsidP="00AF092B">
      <w:pPr>
        <w:pStyle w:val="NormalWeb"/>
        <w:shd w:val="clear" w:color="auto" w:fill="FFFFFF"/>
        <w:textAlignment w:val="baseline"/>
        <w:rPr>
          <w:rFonts w:asciiTheme="minorHAnsi" w:hAnsiTheme="minorHAnsi" w:cstheme="minorHAnsi"/>
          <w:b/>
          <w:bCs/>
        </w:rPr>
      </w:pPr>
    </w:p>
    <w:p w14:paraId="472FFBF5" w14:textId="77777777" w:rsidR="00AF092B" w:rsidRPr="00AF092B" w:rsidRDefault="00AF092B" w:rsidP="00AF092B">
      <w:pPr>
        <w:pStyle w:val="NormalWeb"/>
        <w:shd w:val="clear" w:color="auto" w:fill="FFFFFF"/>
        <w:textAlignment w:val="baseline"/>
        <w:rPr>
          <w:rFonts w:asciiTheme="minorHAnsi" w:hAnsiTheme="minorHAnsi" w:cstheme="minorHAnsi"/>
          <w:bCs/>
        </w:rPr>
      </w:pPr>
      <w:r w:rsidRPr="00AF092B">
        <w:rPr>
          <w:rFonts w:asciiTheme="minorHAnsi" w:hAnsiTheme="minorHAnsi" w:cstheme="minorHAnsi"/>
          <w:bCs/>
        </w:rPr>
        <w:t>The NHS EDI Improvement Plan, High Impact Action 3, requires Trusts to:</w:t>
      </w:r>
    </w:p>
    <w:p w14:paraId="16E1B522" w14:textId="77777777" w:rsidR="00AF092B" w:rsidRPr="00AF092B" w:rsidRDefault="00AF092B" w:rsidP="00AF092B">
      <w:pPr>
        <w:pStyle w:val="NormalWeb"/>
        <w:shd w:val="clear" w:color="auto" w:fill="FFFFFF"/>
        <w:textAlignment w:val="baseline"/>
        <w:rPr>
          <w:rFonts w:asciiTheme="minorHAnsi" w:hAnsiTheme="minorHAnsi" w:cstheme="minorHAnsi"/>
          <w:bCs/>
        </w:rPr>
      </w:pPr>
    </w:p>
    <w:p w14:paraId="6BEE85A2" w14:textId="77777777" w:rsidR="00AF092B" w:rsidRPr="00AF092B" w:rsidRDefault="00AF092B" w:rsidP="00AF092B">
      <w:pPr>
        <w:pStyle w:val="NormalWeb"/>
        <w:numPr>
          <w:ilvl w:val="0"/>
          <w:numId w:val="6"/>
        </w:numPr>
        <w:rPr>
          <w:rFonts w:asciiTheme="minorHAnsi" w:hAnsiTheme="minorHAnsi" w:cstheme="minorHAnsi"/>
        </w:rPr>
      </w:pPr>
      <w:r w:rsidRPr="00AF092B">
        <w:rPr>
          <w:rFonts w:asciiTheme="minorHAnsi" w:hAnsiTheme="minorHAnsi" w:cstheme="minorHAnsi"/>
        </w:rPr>
        <w:t>Analyse data to understand pay gaps by protected characteristic and put in place an improvement plan. This is tracked and monitored by NHS boards. Reflecting the maturity of current data sets, plans should be in place for sex and race by 2024, disability by 2025 and other protected characteristics by 2026.</w:t>
      </w:r>
    </w:p>
    <w:p w14:paraId="38897F1B" w14:textId="77777777" w:rsidR="00AF092B" w:rsidRPr="00AF092B" w:rsidRDefault="00AF092B" w:rsidP="00AF092B">
      <w:pPr>
        <w:pStyle w:val="NormalWeb"/>
        <w:rPr>
          <w:rFonts w:asciiTheme="minorHAnsi" w:hAnsiTheme="minorHAnsi" w:cstheme="minorHAnsi"/>
        </w:rPr>
      </w:pPr>
    </w:p>
    <w:p w14:paraId="0DDDEDFA" w14:textId="77777777" w:rsidR="00AF092B" w:rsidRDefault="00AF092B" w:rsidP="00AF092B">
      <w:pPr>
        <w:pStyle w:val="NormalWeb"/>
        <w:rPr>
          <w:rFonts w:asciiTheme="minorHAnsi" w:hAnsiTheme="minorHAnsi" w:cstheme="minorHAnsi"/>
        </w:rPr>
      </w:pPr>
      <w:r w:rsidRPr="00AF092B">
        <w:rPr>
          <w:rFonts w:asciiTheme="minorHAnsi" w:hAnsiTheme="minorHAnsi" w:cstheme="minorHAnsi"/>
        </w:rPr>
        <w:t>A decision has been made to postpone reporting on the Trust’s Disability Pay Gap until advice is received from the Humber and North Yorkshire region regarding the anomaly identified on the Electronic Staff Record (ESR) interface.</w:t>
      </w:r>
    </w:p>
    <w:p w14:paraId="06D64A84" w14:textId="77777777" w:rsidR="00070E7B" w:rsidRDefault="00070E7B" w:rsidP="00AF092B">
      <w:pPr>
        <w:pStyle w:val="NormalWeb"/>
        <w:rPr>
          <w:rFonts w:asciiTheme="minorHAnsi" w:hAnsiTheme="minorHAnsi" w:cstheme="minorHAnsi"/>
        </w:rPr>
      </w:pPr>
    </w:p>
    <w:p w14:paraId="1025411D" w14:textId="003F9D1A" w:rsidR="00070E7B" w:rsidRPr="005B3C63" w:rsidRDefault="00070E7B" w:rsidP="00AF092B">
      <w:pPr>
        <w:pStyle w:val="NormalWeb"/>
        <w:rPr>
          <w:rFonts w:ascii="Arial" w:hAnsi="Arial" w:cs="Arial"/>
        </w:rPr>
      </w:pPr>
      <w:r w:rsidRPr="005B3C63">
        <w:rPr>
          <w:rFonts w:ascii="Arial" w:hAnsi="Arial" w:cs="Arial"/>
          <w:bCs/>
        </w:rPr>
        <w:t>Whilst pay gaps are measured with both a mean and median average. Typically the mean average is regarded as the most reliable statistic of the two</w:t>
      </w:r>
    </w:p>
    <w:p w14:paraId="71AE1662" w14:textId="13FF7DDC" w:rsidR="00FA494F" w:rsidRPr="000D6E5D" w:rsidRDefault="00C4250E" w:rsidP="00C4250E">
      <w:pPr>
        <w:pStyle w:val="ListParagraph"/>
        <w:ind w:left="360"/>
        <w:rPr>
          <w:bCs/>
          <w:szCs w:val="24"/>
        </w:rPr>
      </w:pPr>
      <w:r>
        <w:rPr>
          <w:bCs/>
          <w:szCs w:val="24"/>
        </w:rPr>
        <w:t>2.</w:t>
      </w:r>
      <w:r w:rsidR="000D6E5D">
        <w:rPr>
          <w:bCs/>
          <w:szCs w:val="24"/>
        </w:rPr>
        <w:t xml:space="preserve">     </w:t>
      </w:r>
      <w:r w:rsidR="00FA494F" w:rsidRPr="000D6E5D">
        <w:rPr>
          <w:bCs/>
          <w:szCs w:val="24"/>
        </w:rPr>
        <w:t>Gender Pay Gap</w:t>
      </w:r>
    </w:p>
    <w:p w14:paraId="38BF677E" w14:textId="77777777" w:rsidR="00FA494F" w:rsidRPr="00FA494F" w:rsidRDefault="00FA494F" w:rsidP="00FA494F">
      <w:pPr>
        <w:pStyle w:val="ListParagraph"/>
        <w:ind w:left="1080"/>
        <w:rPr>
          <w:bCs/>
          <w:szCs w:val="24"/>
        </w:rPr>
      </w:pPr>
    </w:p>
    <w:p w14:paraId="174E88E3" w14:textId="77777777" w:rsidR="00FA494F" w:rsidRDefault="00FA494F" w:rsidP="00FA494F">
      <w:pPr>
        <w:rPr>
          <w:bCs/>
          <w:szCs w:val="24"/>
        </w:rPr>
      </w:pPr>
      <w:r w:rsidRPr="005309E7">
        <w:rPr>
          <w:bCs/>
          <w:szCs w:val="24"/>
        </w:rPr>
        <w:t>The data for 202</w:t>
      </w:r>
      <w:r>
        <w:rPr>
          <w:bCs/>
          <w:szCs w:val="24"/>
        </w:rPr>
        <w:t>5 shows</w:t>
      </w:r>
      <w:r w:rsidRPr="005309E7">
        <w:rPr>
          <w:bCs/>
          <w:szCs w:val="24"/>
        </w:rPr>
        <w:t xml:space="preserve"> an increase in the </w:t>
      </w:r>
      <w:r>
        <w:rPr>
          <w:bCs/>
          <w:szCs w:val="24"/>
        </w:rPr>
        <w:t>mean and median gap</w:t>
      </w:r>
      <w:r w:rsidRPr="005309E7">
        <w:rPr>
          <w:bCs/>
          <w:szCs w:val="24"/>
        </w:rPr>
        <w:t xml:space="preserve"> between men and women</w:t>
      </w:r>
      <w:r>
        <w:rPr>
          <w:bCs/>
          <w:szCs w:val="24"/>
        </w:rPr>
        <w:t xml:space="preserve"> for the entire workforce. Mean increased from 21.91% to 23.89% and median from 7.28% to 17.85%. </w:t>
      </w:r>
    </w:p>
    <w:p w14:paraId="6A002617" w14:textId="77777777" w:rsidR="00AE428D" w:rsidRDefault="00AE428D" w:rsidP="00FA494F">
      <w:pPr>
        <w:rPr>
          <w:bCs/>
          <w:szCs w:val="24"/>
        </w:rPr>
      </w:pPr>
    </w:p>
    <w:p w14:paraId="1E40DDD7" w14:textId="77777777" w:rsidR="00241B29" w:rsidRPr="00C47DFE" w:rsidRDefault="00241B29" w:rsidP="00241B29">
      <w:pPr>
        <w:rPr>
          <w:bCs/>
        </w:rPr>
      </w:pPr>
      <w:r>
        <w:rPr>
          <w:bCs/>
        </w:rPr>
        <w:t xml:space="preserve">Below is a year-on year comparison depicting the Trust’s progress with the Gender Pay Gap: </w:t>
      </w:r>
    </w:p>
    <w:p w14:paraId="398B4CEF" w14:textId="77777777" w:rsidR="00241B29" w:rsidRPr="007C471C" w:rsidRDefault="00241B29" w:rsidP="00241B29">
      <w:pPr>
        <w:rPr>
          <w:color w:val="FF0000"/>
        </w:rPr>
      </w:pPr>
    </w:p>
    <w:p w14:paraId="45746B30" w14:textId="77777777" w:rsidR="00241B29" w:rsidRDefault="00241B29" w:rsidP="00FA494F">
      <w:pPr>
        <w:rPr>
          <w:bCs/>
          <w:szCs w:val="24"/>
        </w:rPr>
      </w:pPr>
    </w:p>
    <w:p w14:paraId="30AB348F" w14:textId="042C808B" w:rsidR="00A162AE" w:rsidRDefault="00A162AE" w:rsidP="00FA494F">
      <w:pPr>
        <w:rPr>
          <w:bCs/>
          <w:szCs w:val="24"/>
        </w:rPr>
      </w:pPr>
      <w:r>
        <w:rPr>
          <w:noProof/>
        </w:rPr>
        <w:drawing>
          <wp:inline distT="0" distB="0" distL="0" distR="0" wp14:anchorId="3A4BF76A" wp14:editId="0F5F69B7">
            <wp:extent cx="4572000" cy="2736850"/>
            <wp:effectExtent l="0" t="0" r="0" b="6350"/>
            <wp:docPr id="1296276430" name="Chart 1">
              <a:extLst xmlns:a="http://schemas.openxmlformats.org/drawingml/2006/main">
                <a:ext uri="{FF2B5EF4-FFF2-40B4-BE49-F238E27FC236}">
                  <a16:creationId xmlns:a16="http://schemas.microsoft.com/office/drawing/2014/main" id="{F4D5042F-5F13-96F6-D84C-E23B92BCAF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FACD4D" w14:textId="77777777" w:rsidR="00A162AE" w:rsidRDefault="00A162AE" w:rsidP="00FA494F">
      <w:pPr>
        <w:rPr>
          <w:bCs/>
          <w:szCs w:val="24"/>
        </w:rPr>
      </w:pPr>
    </w:p>
    <w:p w14:paraId="214F13A8" w14:textId="77777777" w:rsidR="00A162AE" w:rsidRDefault="00A162AE" w:rsidP="00AE428D">
      <w:pPr>
        <w:rPr>
          <w:b/>
          <w:bCs/>
        </w:rPr>
      </w:pPr>
    </w:p>
    <w:p w14:paraId="4D874928" w14:textId="77777777" w:rsidR="00A162AE" w:rsidRDefault="00A162AE" w:rsidP="00AE428D">
      <w:pPr>
        <w:rPr>
          <w:b/>
          <w:bCs/>
        </w:rPr>
      </w:pPr>
    </w:p>
    <w:p w14:paraId="6D824553" w14:textId="77777777" w:rsidR="00241B29" w:rsidRDefault="00241B29" w:rsidP="00241B29">
      <w:pPr>
        <w:rPr>
          <w:bCs/>
          <w:szCs w:val="24"/>
        </w:rPr>
      </w:pPr>
      <w:r>
        <w:rPr>
          <w:bCs/>
          <w:szCs w:val="24"/>
        </w:rPr>
        <w:t>The infographic at Appendix 1 provides a visual representation of 2025’s data.</w:t>
      </w:r>
    </w:p>
    <w:p w14:paraId="18C75590" w14:textId="77777777" w:rsidR="00F23236" w:rsidRDefault="00F23236" w:rsidP="00241B29">
      <w:pPr>
        <w:rPr>
          <w:bCs/>
          <w:szCs w:val="24"/>
        </w:rPr>
      </w:pPr>
    </w:p>
    <w:p w14:paraId="17FB2D15" w14:textId="2CAE1DCD" w:rsidR="00F23236" w:rsidRDefault="00F23236" w:rsidP="00241B29">
      <w:pPr>
        <w:rPr>
          <w:bCs/>
          <w:szCs w:val="24"/>
        </w:rPr>
      </w:pPr>
      <w:r>
        <w:rPr>
          <w:bCs/>
          <w:szCs w:val="24"/>
        </w:rPr>
        <w:t xml:space="preserve">When Medical and Dental Staff are removed there is no pay gap across the remainder of the workforce. The Medical and Dental pay gap is the result of the organisation employing more men in senior </w:t>
      </w:r>
      <w:proofErr w:type="gramStart"/>
      <w:r>
        <w:rPr>
          <w:bCs/>
          <w:szCs w:val="24"/>
        </w:rPr>
        <w:t>Medical</w:t>
      </w:r>
      <w:proofErr w:type="gramEnd"/>
      <w:r>
        <w:rPr>
          <w:bCs/>
          <w:szCs w:val="24"/>
        </w:rPr>
        <w:t xml:space="preserve"> roles and more women in the more junior roles. </w:t>
      </w:r>
    </w:p>
    <w:p w14:paraId="37092984" w14:textId="77777777" w:rsidR="00F23236" w:rsidRDefault="00F23236" w:rsidP="00241B29">
      <w:pPr>
        <w:rPr>
          <w:bCs/>
          <w:szCs w:val="24"/>
        </w:rPr>
      </w:pPr>
    </w:p>
    <w:p w14:paraId="0968DD3A" w14:textId="77777777" w:rsidR="00F23236" w:rsidRPr="0052335A" w:rsidRDefault="00F23236" w:rsidP="00F23236">
      <w:pPr>
        <w:rPr>
          <w:b/>
          <w:szCs w:val="24"/>
        </w:rPr>
      </w:pPr>
      <w:r w:rsidRPr="0052335A">
        <w:rPr>
          <w:b/>
          <w:szCs w:val="24"/>
        </w:rPr>
        <w:t>Mend the Gap</w:t>
      </w:r>
    </w:p>
    <w:p w14:paraId="16FBB7F7" w14:textId="77777777" w:rsidR="00F23236" w:rsidRPr="00EB68D2" w:rsidRDefault="00F23236" w:rsidP="00F23236">
      <w:pPr>
        <w:pStyle w:val="ListParagraph"/>
        <w:ind w:left="720"/>
        <w:rPr>
          <w:b w:val="0"/>
          <w:color w:val="auto"/>
          <w:szCs w:val="24"/>
        </w:rPr>
      </w:pPr>
    </w:p>
    <w:p w14:paraId="51CD338E" w14:textId="77777777" w:rsidR="00F23236" w:rsidRDefault="00F23236" w:rsidP="00F23236">
      <w:pPr>
        <w:rPr>
          <w:szCs w:val="24"/>
        </w:rPr>
      </w:pPr>
      <w:r w:rsidRPr="0052335A">
        <w:rPr>
          <w:szCs w:val="24"/>
        </w:rPr>
        <w:t>Mend the Gap describes the actions the NHS should take to address the Gender Pay Gap in medicine, such as promoting flexible working for all. Appendix 2 details the actions the organisation is undertaking to meet this.</w:t>
      </w:r>
    </w:p>
    <w:p w14:paraId="5CBE3E4C" w14:textId="77777777" w:rsidR="00F23236" w:rsidRDefault="00F23236" w:rsidP="00241B29">
      <w:pPr>
        <w:rPr>
          <w:bCs/>
          <w:szCs w:val="24"/>
        </w:rPr>
      </w:pPr>
    </w:p>
    <w:p w14:paraId="075AEBC5" w14:textId="77777777" w:rsidR="00A162AE" w:rsidRDefault="00A162AE" w:rsidP="00AE428D">
      <w:pPr>
        <w:rPr>
          <w:b/>
          <w:bCs/>
        </w:rPr>
      </w:pPr>
    </w:p>
    <w:p w14:paraId="6B261FBB" w14:textId="4E9D65E5" w:rsidR="00AE428D" w:rsidRPr="00A86D82" w:rsidRDefault="00AE428D" w:rsidP="00AE428D">
      <w:pPr>
        <w:rPr>
          <w:b/>
          <w:bCs/>
        </w:rPr>
      </w:pPr>
      <w:r w:rsidRPr="00A86D82">
        <w:rPr>
          <w:b/>
          <w:bCs/>
        </w:rPr>
        <w:t>Clinical Excellence Awards (Bonus Payments)</w:t>
      </w:r>
    </w:p>
    <w:p w14:paraId="309C36B4" w14:textId="77777777" w:rsidR="00AE428D" w:rsidRPr="000410FA" w:rsidRDefault="00AE428D" w:rsidP="00AE428D"/>
    <w:p w14:paraId="73EB7546" w14:textId="77777777" w:rsidR="00AE428D" w:rsidRPr="008A75EC" w:rsidRDefault="00AE428D" w:rsidP="00AE428D">
      <w:r w:rsidRPr="008A75EC">
        <w:t xml:space="preserve">The legislation requires Trusts to report on ‘bonus’ payments. Clinical Excellence Awards for medical staff technically fall into the definition of a bonus payment for the purpose of this report. </w:t>
      </w:r>
    </w:p>
    <w:p w14:paraId="2AFEEF20" w14:textId="77777777" w:rsidR="00AE428D" w:rsidRPr="000410FA" w:rsidRDefault="00AE428D" w:rsidP="00AE428D"/>
    <w:p w14:paraId="1128594C" w14:textId="77777777" w:rsidR="00AE428D" w:rsidRPr="00726A51" w:rsidRDefault="00AE428D" w:rsidP="00AE428D">
      <w:pPr>
        <w:rPr>
          <w:szCs w:val="24"/>
        </w:rPr>
      </w:pPr>
      <w:r w:rsidRPr="00726A51">
        <w:rPr>
          <w:szCs w:val="24"/>
        </w:rPr>
        <w:t>The GPG bonus payments data for 2025 is mean 27.04%, median 50%, (in favour of men). Although the Clinical Excellence Awards are split equally</w:t>
      </w:r>
      <w:r w:rsidRPr="00726A51">
        <w:rPr>
          <w:bCs/>
          <w:szCs w:val="24"/>
        </w:rPr>
        <w:t xml:space="preserve"> </w:t>
      </w:r>
      <w:r w:rsidRPr="00726A51">
        <w:rPr>
          <w:szCs w:val="24"/>
        </w:rPr>
        <w:t>between men</w:t>
      </w:r>
      <w:r w:rsidRPr="00726A51">
        <w:rPr>
          <w:bCs/>
          <w:szCs w:val="24"/>
        </w:rPr>
        <w:t xml:space="preserve"> </w:t>
      </w:r>
      <w:r w:rsidRPr="00726A51">
        <w:rPr>
          <w:szCs w:val="24"/>
        </w:rPr>
        <w:t>and women, the percentage of female Consultants in receipt of them was 30.60% and 69.40% male Consultants.</w:t>
      </w:r>
    </w:p>
    <w:p w14:paraId="53F674B3" w14:textId="77777777" w:rsidR="00AE428D" w:rsidRDefault="00AE428D" w:rsidP="00AE428D">
      <w:pPr>
        <w:pStyle w:val="ListParagraph"/>
        <w:ind w:left="720"/>
        <w:rPr>
          <w:b w:val="0"/>
          <w:color w:val="auto"/>
          <w:szCs w:val="24"/>
        </w:rPr>
      </w:pPr>
    </w:p>
    <w:p w14:paraId="26237A78" w14:textId="77777777" w:rsidR="0052335A" w:rsidRPr="0052335A" w:rsidRDefault="0052335A" w:rsidP="0052335A">
      <w:pPr>
        <w:rPr>
          <w:szCs w:val="24"/>
        </w:rPr>
      </w:pPr>
    </w:p>
    <w:p w14:paraId="70D84340" w14:textId="788BF768" w:rsidR="001046F0" w:rsidRPr="00951F4A" w:rsidRDefault="001046F0" w:rsidP="00951F4A">
      <w:pPr>
        <w:pStyle w:val="ListParagraph"/>
        <w:numPr>
          <w:ilvl w:val="0"/>
          <w:numId w:val="16"/>
        </w:numPr>
        <w:rPr>
          <w:szCs w:val="24"/>
        </w:rPr>
      </w:pPr>
      <w:r w:rsidRPr="00951F4A">
        <w:rPr>
          <w:szCs w:val="24"/>
        </w:rPr>
        <w:t>Ethnicity Pay Gap</w:t>
      </w:r>
      <w:r w:rsidR="0033073E" w:rsidRPr="00951F4A">
        <w:rPr>
          <w:szCs w:val="24"/>
        </w:rPr>
        <w:t xml:space="preserve"> </w:t>
      </w:r>
    </w:p>
    <w:p w14:paraId="6DEB2A91" w14:textId="77777777" w:rsidR="00557847" w:rsidRDefault="00557847" w:rsidP="00557847"/>
    <w:p w14:paraId="5D5954BA" w14:textId="77777777" w:rsidR="00557847" w:rsidRDefault="00557847" w:rsidP="00557847">
      <w:pPr>
        <w:rPr>
          <w:bCs/>
          <w:szCs w:val="24"/>
        </w:rPr>
      </w:pPr>
      <w:r>
        <w:rPr>
          <w:bCs/>
          <w:szCs w:val="24"/>
        </w:rPr>
        <w:t xml:space="preserve">Across the entire workforce, white colleagues are paid less than non-white colleagues thus creating an ethnicity pay gap. However, for the purposes of reporting within the NHS, a pay differential is only considered a gap when the minority group is paid less. Therefore, the Trust can report it has no ethnicity pay gap. </w:t>
      </w:r>
    </w:p>
    <w:p w14:paraId="471446B3" w14:textId="77777777" w:rsidR="00557847" w:rsidRDefault="00557847" w:rsidP="00557847">
      <w:pPr>
        <w:rPr>
          <w:bCs/>
          <w:szCs w:val="24"/>
        </w:rPr>
      </w:pPr>
    </w:p>
    <w:p w14:paraId="6FE926C7" w14:textId="77777777" w:rsidR="00557847" w:rsidRDefault="00557847" w:rsidP="00557847">
      <w:pPr>
        <w:rPr>
          <w:bCs/>
          <w:szCs w:val="24"/>
        </w:rPr>
      </w:pPr>
      <w:r>
        <w:rPr>
          <w:bCs/>
          <w:szCs w:val="24"/>
        </w:rPr>
        <w:t xml:space="preserve">However, more detailed analysis shows there is only an ethnicity pay gap among the </w:t>
      </w:r>
      <w:r w:rsidRPr="0066150E">
        <w:rPr>
          <w:bCs/>
          <w:szCs w:val="24"/>
        </w:rPr>
        <w:t>medical and dental</w:t>
      </w:r>
      <w:r>
        <w:rPr>
          <w:bCs/>
          <w:szCs w:val="24"/>
        </w:rPr>
        <w:t xml:space="preserve"> staff group. The mean pay gap among this staff group has increased marginally since last year from 22.02% to 23.01%. The median has reduced from 47.50% to 44.64%. The mean average is considered the more reliable statistic. </w:t>
      </w:r>
    </w:p>
    <w:p w14:paraId="5E8193C2" w14:textId="77777777" w:rsidR="00557847" w:rsidRDefault="00557847" w:rsidP="00557847">
      <w:pPr>
        <w:rPr>
          <w:bCs/>
          <w:szCs w:val="24"/>
        </w:rPr>
      </w:pPr>
    </w:p>
    <w:p w14:paraId="2C0E4FDF" w14:textId="77777777" w:rsidR="00557847" w:rsidRDefault="00557847" w:rsidP="00557847">
      <w:pPr>
        <w:rPr>
          <w:bCs/>
          <w:szCs w:val="24"/>
        </w:rPr>
      </w:pPr>
      <w:r>
        <w:rPr>
          <w:bCs/>
          <w:szCs w:val="24"/>
        </w:rPr>
        <w:t>B</w:t>
      </w:r>
      <w:r w:rsidRPr="006834D2">
        <w:rPr>
          <w:bCs/>
          <w:szCs w:val="24"/>
        </w:rPr>
        <w:t xml:space="preserve">onus </w:t>
      </w:r>
      <w:r>
        <w:rPr>
          <w:bCs/>
          <w:szCs w:val="24"/>
        </w:rPr>
        <w:t xml:space="preserve">payments have seen a </w:t>
      </w:r>
      <w:r w:rsidRPr="006834D2">
        <w:rPr>
          <w:bCs/>
          <w:szCs w:val="24"/>
        </w:rPr>
        <w:t>deteriorat</w:t>
      </w:r>
      <w:r>
        <w:rPr>
          <w:bCs/>
          <w:szCs w:val="24"/>
        </w:rPr>
        <w:t xml:space="preserve">ion from 5.59% to 13.99% (mean) </w:t>
      </w:r>
      <w:r w:rsidRPr="00086F9E">
        <w:rPr>
          <w:bCs/>
          <w:szCs w:val="24"/>
        </w:rPr>
        <w:t xml:space="preserve">this </w:t>
      </w:r>
      <w:r>
        <w:rPr>
          <w:bCs/>
          <w:szCs w:val="24"/>
        </w:rPr>
        <w:t>year</w:t>
      </w:r>
      <w:r w:rsidRPr="00086F9E">
        <w:rPr>
          <w:bCs/>
          <w:szCs w:val="24"/>
        </w:rPr>
        <w:t xml:space="preserve">. </w:t>
      </w:r>
      <w:r>
        <w:rPr>
          <w:bCs/>
          <w:szCs w:val="24"/>
        </w:rPr>
        <w:t>In 2025 the payments were split equally between ethnic groups, but 22.14% were awarded to minority ethnic groups and 77.86% to white colleagues.</w:t>
      </w:r>
    </w:p>
    <w:p w14:paraId="0C2A0D22" w14:textId="77777777" w:rsidR="00241ADB" w:rsidRDefault="00241ADB" w:rsidP="00557847">
      <w:pPr>
        <w:rPr>
          <w:bCs/>
          <w:szCs w:val="24"/>
        </w:rPr>
      </w:pPr>
    </w:p>
    <w:p w14:paraId="5C739A57" w14:textId="77777777" w:rsidR="00241B29" w:rsidRDefault="00241B29" w:rsidP="00557847">
      <w:pPr>
        <w:rPr>
          <w:bCs/>
          <w:szCs w:val="24"/>
        </w:rPr>
      </w:pPr>
    </w:p>
    <w:p w14:paraId="222B96E3" w14:textId="77777777" w:rsidR="00241B29" w:rsidRDefault="00241B29" w:rsidP="00557847">
      <w:pPr>
        <w:rPr>
          <w:bCs/>
          <w:szCs w:val="24"/>
        </w:rPr>
      </w:pPr>
    </w:p>
    <w:p w14:paraId="5A5221CB" w14:textId="77777777" w:rsidR="00241B29" w:rsidRDefault="00241B29" w:rsidP="00557847">
      <w:pPr>
        <w:rPr>
          <w:bCs/>
          <w:szCs w:val="24"/>
        </w:rPr>
      </w:pPr>
    </w:p>
    <w:p w14:paraId="1464E9F9" w14:textId="77777777" w:rsidR="00241B29" w:rsidRDefault="00241B29" w:rsidP="00557847">
      <w:pPr>
        <w:rPr>
          <w:bCs/>
          <w:szCs w:val="24"/>
        </w:rPr>
      </w:pPr>
    </w:p>
    <w:p w14:paraId="465504BC" w14:textId="77777777" w:rsidR="00241B29" w:rsidRDefault="00241B29" w:rsidP="00557847">
      <w:pPr>
        <w:rPr>
          <w:bCs/>
          <w:szCs w:val="24"/>
        </w:rPr>
      </w:pPr>
    </w:p>
    <w:p w14:paraId="06697B39" w14:textId="77777777" w:rsidR="00241B29" w:rsidRDefault="00241B29" w:rsidP="00557847">
      <w:pPr>
        <w:rPr>
          <w:bCs/>
          <w:szCs w:val="24"/>
        </w:rPr>
      </w:pPr>
    </w:p>
    <w:p w14:paraId="4466CF5A" w14:textId="77777777" w:rsidR="00241B29" w:rsidRDefault="00241B29" w:rsidP="00557847">
      <w:pPr>
        <w:rPr>
          <w:bCs/>
          <w:szCs w:val="24"/>
        </w:rPr>
      </w:pPr>
    </w:p>
    <w:p w14:paraId="6A7D8D5E" w14:textId="77777777" w:rsidR="00241B29" w:rsidRDefault="00241B29" w:rsidP="00557847">
      <w:pPr>
        <w:rPr>
          <w:bCs/>
          <w:szCs w:val="24"/>
        </w:rPr>
      </w:pPr>
    </w:p>
    <w:p w14:paraId="78C84E0A" w14:textId="77777777" w:rsidR="00241B29" w:rsidRDefault="00241B29" w:rsidP="00557847">
      <w:pPr>
        <w:rPr>
          <w:bCs/>
          <w:szCs w:val="24"/>
        </w:rPr>
      </w:pPr>
    </w:p>
    <w:p w14:paraId="7C5D648F" w14:textId="77777777" w:rsidR="00241B29" w:rsidRDefault="00241B29" w:rsidP="00557847">
      <w:pPr>
        <w:rPr>
          <w:bCs/>
          <w:szCs w:val="24"/>
        </w:rPr>
      </w:pPr>
    </w:p>
    <w:p w14:paraId="45F95089" w14:textId="77777777" w:rsidR="00241B29" w:rsidRDefault="00241B29" w:rsidP="00557847">
      <w:pPr>
        <w:rPr>
          <w:bCs/>
          <w:szCs w:val="24"/>
        </w:rPr>
      </w:pPr>
    </w:p>
    <w:p w14:paraId="1A29EE7A" w14:textId="77777777" w:rsidR="00241B29" w:rsidRDefault="00241B29" w:rsidP="00557847">
      <w:pPr>
        <w:rPr>
          <w:bCs/>
          <w:szCs w:val="24"/>
        </w:rPr>
      </w:pPr>
    </w:p>
    <w:p w14:paraId="2383ABED" w14:textId="77777777" w:rsidR="00241B29" w:rsidRDefault="00241B29" w:rsidP="00557847">
      <w:pPr>
        <w:rPr>
          <w:bCs/>
          <w:szCs w:val="24"/>
        </w:rPr>
      </w:pPr>
    </w:p>
    <w:p w14:paraId="52961E5F" w14:textId="77777777" w:rsidR="00241B29" w:rsidRDefault="00241B29" w:rsidP="00557847">
      <w:pPr>
        <w:rPr>
          <w:bCs/>
          <w:szCs w:val="24"/>
        </w:rPr>
      </w:pPr>
    </w:p>
    <w:p w14:paraId="09ED9B34" w14:textId="77777777" w:rsidR="00241B29" w:rsidRDefault="00241B29" w:rsidP="00557847">
      <w:pPr>
        <w:rPr>
          <w:bCs/>
          <w:szCs w:val="24"/>
        </w:rPr>
      </w:pPr>
    </w:p>
    <w:p w14:paraId="58D0FA39" w14:textId="77777777" w:rsidR="00241B29" w:rsidRDefault="00241B29" w:rsidP="00557847">
      <w:pPr>
        <w:rPr>
          <w:bCs/>
          <w:szCs w:val="24"/>
        </w:rPr>
      </w:pPr>
    </w:p>
    <w:p w14:paraId="2C5688A6" w14:textId="77777777" w:rsidR="00241B29" w:rsidRDefault="00241B29" w:rsidP="00557847">
      <w:pPr>
        <w:rPr>
          <w:bCs/>
          <w:szCs w:val="24"/>
        </w:rPr>
      </w:pPr>
    </w:p>
    <w:p w14:paraId="15158F25" w14:textId="5B882419" w:rsidR="0042533B" w:rsidRDefault="00951F4A" w:rsidP="00951F4A">
      <w:pPr>
        <w:rPr>
          <w:b/>
          <w:color w:val="0070C0"/>
          <w:szCs w:val="24"/>
        </w:rPr>
      </w:pPr>
      <w:r>
        <w:rPr>
          <w:b/>
          <w:color w:val="0070C0"/>
          <w:szCs w:val="24"/>
        </w:rPr>
        <w:t xml:space="preserve">     </w:t>
      </w:r>
      <w:r w:rsidR="0042533B" w:rsidRPr="00C80423">
        <w:rPr>
          <w:b/>
          <w:color w:val="0070C0"/>
          <w:szCs w:val="24"/>
        </w:rPr>
        <w:t>Summary</w:t>
      </w:r>
    </w:p>
    <w:p w14:paraId="37AB897B" w14:textId="77777777" w:rsidR="00C4250E" w:rsidRDefault="00C4250E" w:rsidP="00C80423">
      <w:pPr>
        <w:ind w:firstLine="720"/>
        <w:rPr>
          <w:b/>
          <w:color w:val="0070C0"/>
          <w:szCs w:val="24"/>
        </w:rPr>
      </w:pPr>
    </w:p>
    <w:p w14:paraId="060D598D" w14:textId="5F53D349" w:rsidR="0042533B" w:rsidRDefault="00DD1243" w:rsidP="0042533B">
      <w:pPr>
        <w:rPr>
          <w:bCs/>
          <w:szCs w:val="24"/>
        </w:rPr>
      </w:pPr>
      <w:r>
        <w:rPr>
          <w:noProof/>
        </w:rPr>
        <mc:AlternateContent>
          <mc:Choice Requires="wps">
            <w:drawing>
              <wp:anchor distT="0" distB="0" distL="114300" distR="114300" simplePos="0" relativeHeight="251660288" behindDoc="0" locked="0" layoutInCell="1" allowOverlap="1" wp14:anchorId="2DDD8165" wp14:editId="5941268D">
                <wp:simplePos x="0" y="0"/>
                <wp:positionH relativeFrom="column">
                  <wp:posOffset>-5080</wp:posOffset>
                </wp:positionH>
                <wp:positionV relativeFrom="paragraph">
                  <wp:posOffset>1356803</wp:posOffset>
                </wp:positionV>
                <wp:extent cx="4587368" cy="23052"/>
                <wp:effectExtent l="0" t="0" r="22860" b="34290"/>
                <wp:wrapNone/>
                <wp:docPr id="459393819" name="Straight Connector 1"/>
                <wp:cNvGraphicFramePr/>
                <a:graphic xmlns:a="http://schemas.openxmlformats.org/drawingml/2006/main">
                  <a:graphicData uri="http://schemas.microsoft.com/office/word/2010/wordprocessingShape">
                    <wps:wsp>
                      <wps:cNvCnPr/>
                      <wps:spPr>
                        <a:xfrm flipV="1">
                          <a:off x="0" y="0"/>
                          <a:ext cx="4587368" cy="23052"/>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F2C24"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pt,106.85pt" to="360.8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" strokecolor="red" strokeweight="1.25pt">
                <v:stroke joinstyle="miter"/>
              </v:line>
            </w:pict>
          </mc:Fallback>
        </mc:AlternateContent>
      </w:r>
      <w:r w:rsidR="00C869BC">
        <w:rPr>
          <w:noProof/>
        </w:rPr>
        <w:drawing>
          <wp:inline distT="0" distB="0" distL="0" distR="0" wp14:anchorId="48C96CDA" wp14:editId="3A6A22F8">
            <wp:extent cx="4572000" cy="2736850"/>
            <wp:effectExtent l="0" t="0" r="0" b="6350"/>
            <wp:docPr id="1910892057" name="Chart 1">
              <a:extLst xmlns:a="http://schemas.openxmlformats.org/drawingml/2006/main">
                <a:ext uri="{FF2B5EF4-FFF2-40B4-BE49-F238E27FC236}">
                  <a16:creationId xmlns:a16="http://schemas.microsoft.com/office/drawing/2014/main" id="{F4D5042F-5F13-96F6-D84C-E23B92BCAF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91FF18" w14:textId="507AA3BE" w:rsidR="0042533B" w:rsidRDefault="0042533B" w:rsidP="0042533B">
      <w:pPr>
        <w:rPr>
          <w:bCs/>
          <w:szCs w:val="24"/>
        </w:rPr>
      </w:pPr>
    </w:p>
    <w:p w14:paraId="77E23C19" w14:textId="557230F1" w:rsidR="0042533B" w:rsidRPr="0042533B" w:rsidRDefault="0042533B" w:rsidP="0042533B">
      <w:pPr>
        <w:rPr>
          <w:bCs/>
          <w:szCs w:val="24"/>
        </w:rPr>
      </w:pPr>
    </w:p>
    <w:p w14:paraId="2501C6BD" w14:textId="36B4C3A4" w:rsidR="00A8671F" w:rsidRPr="00C80423" w:rsidRDefault="00A8671F" w:rsidP="00951F4A">
      <w:pPr>
        <w:pStyle w:val="ListParagraph"/>
        <w:numPr>
          <w:ilvl w:val="0"/>
          <w:numId w:val="16"/>
        </w:numPr>
        <w:rPr>
          <w:color w:val="0070C0"/>
          <w:szCs w:val="24"/>
        </w:rPr>
      </w:pPr>
      <w:r w:rsidRPr="00C80423">
        <w:rPr>
          <w:color w:val="0070C0"/>
          <w:szCs w:val="24"/>
        </w:rPr>
        <w:t>Recommendations:</w:t>
      </w:r>
    </w:p>
    <w:p w14:paraId="5032042B" w14:textId="77777777" w:rsidR="00A8671F" w:rsidRDefault="00A8671F" w:rsidP="00A8671F">
      <w:pPr>
        <w:rPr>
          <w:szCs w:val="24"/>
        </w:rPr>
      </w:pPr>
    </w:p>
    <w:p w14:paraId="29D6D8B6" w14:textId="06F12B37" w:rsidR="00A8671F" w:rsidRDefault="00A8671F" w:rsidP="0058165E">
      <w:pPr>
        <w:pStyle w:val="ListParagraph"/>
        <w:numPr>
          <w:ilvl w:val="0"/>
          <w:numId w:val="4"/>
        </w:numPr>
        <w:autoSpaceDE w:val="0"/>
        <w:autoSpaceDN w:val="0"/>
        <w:adjustRightInd w:val="0"/>
        <w:contextualSpacing w:val="0"/>
        <w:rPr>
          <w:b w:val="0"/>
          <w:color w:val="auto"/>
          <w:szCs w:val="24"/>
        </w:rPr>
      </w:pPr>
      <w:r w:rsidRPr="005C0882">
        <w:rPr>
          <w:b w:val="0"/>
          <w:color w:val="auto"/>
          <w:szCs w:val="24"/>
        </w:rPr>
        <w:t>The Women’s network</w:t>
      </w:r>
      <w:r w:rsidR="00DB3206">
        <w:rPr>
          <w:b w:val="0"/>
          <w:color w:val="auto"/>
          <w:szCs w:val="24"/>
        </w:rPr>
        <w:t xml:space="preserve"> </w:t>
      </w:r>
      <w:r w:rsidR="00F23236">
        <w:rPr>
          <w:b w:val="0"/>
          <w:color w:val="auto"/>
          <w:szCs w:val="24"/>
        </w:rPr>
        <w:t xml:space="preserve">should </w:t>
      </w:r>
      <w:r w:rsidR="00DD0D5E">
        <w:rPr>
          <w:b w:val="0"/>
          <w:color w:val="auto"/>
          <w:szCs w:val="24"/>
        </w:rPr>
        <w:t>continue</w:t>
      </w:r>
      <w:r w:rsidR="00DB3206">
        <w:rPr>
          <w:b w:val="0"/>
          <w:color w:val="auto"/>
          <w:szCs w:val="24"/>
        </w:rPr>
        <w:t xml:space="preserve"> to support the work in decreasing the GPG. </w:t>
      </w:r>
    </w:p>
    <w:p w14:paraId="4841E700" w14:textId="3A9A233D" w:rsidR="00C3057C" w:rsidRDefault="00C3057C" w:rsidP="0058165E">
      <w:pPr>
        <w:pStyle w:val="ListParagraph"/>
        <w:numPr>
          <w:ilvl w:val="0"/>
          <w:numId w:val="4"/>
        </w:numPr>
        <w:autoSpaceDE w:val="0"/>
        <w:autoSpaceDN w:val="0"/>
        <w:adjustRightInd w:val="0"/>
        <w:contextualSpacing w:val="0"/>
        <w:rPr>
          <w:b w:val="0"/>
          <w:color w:val="auto"/>
          <w:szCs w:val="24"/>
        </w:rPr>
      </w:pPr>
      <w:r>
        <w:rPr>
          <w:b w:val="0"/>
          <w:color w:val="auto"/>
          <w:szCs w:val="24"/>
        </w:rPr>
        <w:t xml:space="preserve">The Human Resources team </w:t>
      </w:r>
      <w:r w:rsidR="00F23236">
        <w:rPr>
          <w:b w:val="0"/>
          <w:color w:val="auto"/>
          <w:szCs w:val="24"/>
        </w:rPr>
        <w:t>should</w:t>
      </w:r>
      <w:r>
        <w:rPr>
          <w:b w:val="0"/>
          <w:color w:val="auto"/>
          <w:szCs w:val="24"/>
        </w:rPr>
        <w:t xml:space="preserve"> continue to review and implement practices to support equality.</w:t>
      </w:r>
    </w:p>
    <w:p w14:paraId="7C3A2756" w14:textId="5036E76D" w:rsidR="00FE7D1F" w:rsidRDefault="009719C0" w:rsidP="009719C0">
      <w:pPr>
        <w:pStyle w:val="ListParagraph"/>
        <w:numPr>
          <w:ilvl w:val="0"/>
          <w:numId w:val="4"/>
        </w:numPr>
        <w:autoSpaceDE w:val="0"/>
        <w:autoSpaceDN w:val="0"/>
        <w:adjustRightInd w:val="0"/>
        <w:contextualSpacing w:val="0"/>
        <w:rPr>
          <w:b w:val="0"/>
          <w:color w:val="auto"/>
          <w:szCs w:val="24"/>
        </w:rPr>
      </w:pPr>
      <w:r w:rsidRPr="009719C0">
        <w:rPr>
          <w:b w:val="0"/>
          <w:color w:val="auto"/>
          <w:szCs w:val="24"/>
        </w:rPr>
        <w:t>Continue to implement the</w:t>
      </w:r>
      <w:r>
        <w:rPr>
          <w:b w:val="0"/>
          <w:color w:val="auto"/>
          <w:szCs w:val="24"/>
        </w:rPr>
        <w:t xml:space="preserve"> </w:t>
      </w:r>
      <w:r w:rsidR="00A8671F" w:rsidRPr="009719C0">
        <w:rPr>
          <w:b w:val="0"/>
          <w:color w:val="auto"/>
          <w:szCs w:val="24"/>
        </w:rPr>
        <w:t xml:space="preserve">Medical </w:t>
      </w:r>
      <w:r w:rsidR="004850AE">
        <w:rPr>
          <w:b w:val="0"/>
          <w:color w:val="auto"/>
          <w:szCs w:val="24"/>
        </w:rPr>
        <w:t>Pay Gap</w:t>
      </w:r>
      <w:r w:rsidR="00A8671F" w:rsidRPr="009719C0">
        <w:rPr>
          <w:b w:val="0"/>
          <w:color w:val="auto"/>
          <w:szCs w:val="24"/>
        </w:rPr>
        <w:t xml:space="preserve"> </w:t>
      </w:r>
      <w:r>
        <w:rPr>
          <w:b w:val="0"/>
          <w:color w:val="auto"/>
          <w:szCs w:val="24"/>
        </w:rPr>
        <w:t>action plan.</w:t>
      </w:r>
      <w:r w:rsidR="008B7905" w:rsidRPr="009719C0">
        <w:rPr>
          <w:b w:val="0"/>
          <w:color w:val="auto"/>
          <w:szCs w:val="24"/>
        </w:rPr>
        <w:t xml:space="preserve"> </w:t>
      </w:r>
      <w:r w:rsidR="00DB3206">
        <w:rPr>
          <w:b w:val="0"/>
          <w:color w:val="auto"/>
          <w:szCs w:val="24"/>
        </w:rPr>
        <w:t xml:space="preserve">(Appendix </w:t>
      </w:r>
      <w:r w:rsidR="004850AE">
        <w:rPr>
          <w:b w:val="0"/>
          <w:color w:val="auto"/>
          <w:szCs w:val="24"/>
        </w:rPr>
        <w:t>2</w:t>
      </w:r>
      <w:r w:rsidR="00DB3206">
        <w:rPr>
          <w:b w:val="0"/>
          <w:color w:val="auto"/>
          <w:szCs w:val="24"/>
        </w:rPr>
        <w:t>).</w:t>
      </w:r>
    </w:p>
    <w:p w14:paraId="73D67432" w14:textId="611E9F69" w:rsidR="005566CB" w:rsidRPr="00A8647D" w:rsidRDefault="00A8647D" w:rsidP="00A8647D">
      <w:pPr>
        <w:pStyle w:val="ListParagraph"/>
        <w:numPr>
          <w:ilvl w:val="0"/>
          <w:numId w:val="5"/>
        </w:numPr>
        <w:rPr>
          <w:b w:val="0"/>
          <w:color w:val="auto"/>
          <w:szCs w:val="24"/>
        </w:rPr>
      </w:pPr>
      <w:r w:rsidRPr="00A8647D">
        <w:rPr>
          <w:b w:val="0"/>
          <w:color w:val="auto"/>
          <w:szCs w:val="24"/>
        </w:rPr>
        <w:t>Share the results with the</w:t>
      </w:r>
      <w:r w:rsidR="00652D4E">
        <w:rPr>
          <w:b w:val="0"/>
          <w:color w:val="auto"/>
          <w:szCs w:val="24"/>
        </w:rPr>
        <w:t xml:space="preserve"> Trust’s</w:t>
      </w:r>
      <w:r w:rsidRPr="00A8647D">
        <w:rPr>
          <w:b w:val="0"/>
          <w:color w:val="auto"/>
          <w:szCs w:val="24"/>
        </w:rPr>
        <w:t xml:space="preserve"> Staff Networks</w:t>
      </w:r>
    </w:p>
    <w:p w14:paraId="62E2E7DA" w14:textId="45787283" w:rsidR="00A8647D" w:rsidRPr="00A8647D" w:rsidRDefault="00A8647D" w:rsidP="00A8647D">
      <w:pPr>
        <w:pStyle w:val="ListParagraph"/>
        <w:numPr>
          <w:ilvl w:val="0"/>
          <w:numId w:val="5"/>
        </w:numPr>
        <w:rPr>
          <w:b w:val="0"/>
          <w:color w:val="auto"/>
          <w:szCs w:val="24"/>
        </w:rPr>
      </w:pPr>
      <w:r w:rsidRPr="00A8647D">
        <w:rPr>
          <w:b w:val="0"/>
          <w:color w:val="auto"/>
          <w:szCs w:val="24"/>
        </w:rPr>
        <w:t>Publish the report and submit the GPG information</w:t>
      </w:r>
    </w:p>
    <w:p w14:paraId="4EE60752" w14:textId="77777777" w:rsidR="00A8647D" w:rsidRPr="00A8647D" w:rsidRDefault="00A8647D" w:rsidP="00A8647D">
      <w:pPr>
        <w:rPr>
          <w:bCs/>
          <w:szCs w:val="24"/>
        </w:rPr>
      </w:pPr>
    </w:p>
    <w:p w14:paraId="409E86C4" w14:textId="02CEDA7F" w:rsidR="00935CCF" w:rsidRDefault="00935CCF" w:rsidP="00935CCF">
      <w:pPr>
        <w:rPr>
          <w:bCs/>
          <w:szCs w:val="24"/>
        </w:rPr>
      </w:pPr>
      <w:r w:rsidRPr="008F06DB">
        <w:rPr>
          <w:b/>
          <w:bCs/>
          <w:color w:val="0070C0"/>
          <w:szCs w:val="24"/>
        </w:rPr>
        <w:t>Date:</w:t>
      </w:r>
      <w:r w:rsidRPr="00BA511C">
        <w:rPr>
          <w:szCs w:val="24"/>
        </w:rPr>
        <w:t xml:space="preserve"> </w:t>
      </w:r>
      <w:r w:rsidR="009F38A0">
        <w:rPr>
          <w:szCs w:val="24"/>
        </w:rPr>
        <w:t>November</w:t>
      </w:r>
      <w:r w:rsidR="00A12026">
        <w:rPr>
          <w:szCs w:val="24"/>
        </w:rPr>
        <w:t xml:space="preserve"> </w:t>
      </w:r>
      <w:r>
        <w:rPr>
          <w:bCs/>
          <w:szCs w:val="24"/>
        </w:rPr>
        <w:t>202</w:t>
      </w:r>
      <w:r w:rsidR="00646F67">
        <w:rPr>
          <w:bCs/>
          <w:szCs w:val="24"/>
        </w:rPr>
        <w:t>5</w:t>
      </w:r>
    </w:p>
    <w:p w14:paraId="422CD133" w14:textId="77777777" w:rsidR="00316876" w:rsidRDefault="00316876" w:rsidP="00935CCF">
      <w:pPr>
        <w:rPr>
          <w:bCs/>
          <w:szCs w:val="24"/>
        </w:rPr>
      </w:pPr>
    </w:p>
    <w:p w14:paraId="791C4B88" w14:textId="10605CBF" w:rsidR="00316876" w:rsidRDefault="00316876" w:rsidP="00935CCF">
      <w:pPr>
        <w:rPr>
          <w:bCs/>
          <w:szCs w:val="24"/>
        </w:rPr>
      </w:pPr>
    </w:p>
    <w:p w14:paraId="05349974" w14:textId="77777777" w:rsidR="005566CB" w:rsidRDefault="005566CB" w:rsidP="00992C84">
      <w:pPr>
        <w:rPr>
          <w:bCs/>
          <w:szCs w:val="24"/>
        </w:rPr>
      </w:pPr>
    </w:p>
    <w:p w14:paraId="4DEFB136" w14:textId="77777777" w:rsidR="005566CB" w:rsidRDefault="005566CB" w:rsidP="005566CB">
      <w:pPr>
        <w:ind w:left="360"/>
        <w:rPr>
          <w:bCs/>
          <w:szCs w:val="24"/>
        </w:rPr>
      </w:pPr>
    </w:p>
    <w:sectPr w:rsidR="005566CB" w:rsidSect="00B655CC">
      <w:footerReference w:type="default" r:id="rId11"/>
      <w:pgSz w:w="11900" w:h="16840"/>
      <w:pgMar w:top="1134" w:right="1134" w:bottom="709"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1A77" w14:textId="77777777" w:rsidR="002D5076" w:rsidRDefault="002D5076" w:rsidP="00BF6D67">
      <w:r>
        <w:separator/>
      </w:r>
    </w:p>
  </w:endnote>
  <w:endnote w:type="continuationSeparator" w:id="0">
    <w:p w14:paraId="4FD0347B" w14:textId="77777777" w:rsidR="002D5076" w:rsidRDefault="002D5076" w:rsidP="00BF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5F53" w14:textId="1A6C1651" w:rsidR="00DD6B04" w:rsidRPr="007E2DDD" w:rsidRDefault="007E2DDD" w:rsidP="007E2DDD">
    <w:pPr>
      <w:pStyle w:val="Footer"/>
    </w:pPr>
    <w:r>
      <w:t>Pay Gap</w:t>
    </w:r>
    <w:r w:rsidR="00E11FEC">
      <w:t>s</w:t>
    </w:r>
    <w:r>
      <w:t xml:space="preserve"> Report</w:t>
    </w:r>
    <w:r w:rsidR="00E11FEC">
      <w:t xml:space="preserve"> </w:t>
    </w:r>
    <w:r w:rsidR="009F38A0">
      <w:t>November</w:t>
    </w:r>
    <w:r w:rsidR="00E11FEC">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403A" w14:textId="77777777" w:rsidR="002D5076" w:rsidRDefault="002D5076" w:rsidP="00BF6D67">
      <w:r>
        <w:separator/>
      </w:r>
    </w:p>
  </w:footnote>
  <w:footnote w:type="continuationSeparator" w:id="0">
    <w:p w14:paraId="671F7124" w14:textId="77777777" w:rsidR="002D5076" w:rsidRDefault="002D5076" w:rsidP="00BF6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547"/>
    <w:multiLevelType w:val="hybridMultilevel"/>
    <w:tmpl w:val="AE5EE54E"/>
    <w:lvl w:ilvl="0" w:tplc="13D4055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5287F"/>
    <w:multiLevelType w:val="hybridMultilevel"/>
    <w:tmpl w:val="3B8CDC4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8540C"/>
    <w:multiLevelType w:val="hybridMultilevel"/>
    <w:tmpl w:val="DEEA6E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030"/>
    <w:multiLevelType w:val="hybridMultilevel"/>
    <w:tmpl w:val="1760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16A9E"/>
    <w:multiLevelType w:val="hybridMultilevel"/>
    <w:tmpl w:val="A738860A"/>
    <w:lvl w:ilvl="0" w:tplc="B3622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456F6"/>
    <w:multiLevelType w:val="multilevel"/>
    <w:tmpl w:val="93E8C6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AC0CB7"/>
    <w:multiLevelType w:val="hybridMultilevel"/>
    <w:tmpl w:val="63542862"/>
    <w:lvl w:ilvl="0" w:tplc="A88471A0">
      <w:start w:val="1"/>
      <w:numFmt w:val="bullet"/>
      <w:pStyle w:val="BlueBulletList"/>
      <w:lvlText w:val=""/>
      <w:lvlJc w:val="left"/>
      <w:pPr>
        <w:ind w:left="284" w:hanging="284"/>
      </w:pPr>
      <w:rPr>
        <w:rFonts w:ascii="Symbol" w:hAnsi="Symbol" w:hint="default"/>
        <w:color w:val="0072C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A1B4B"/>
    <w:multiLevelType w:val="multilevel"/>
    <w:tmpl w:val="7AE4D7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144BAC"/>
    <w:multiLevelType w:val="hybridMultilevel"/>
    <w:tmpl w:val="92BE11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6D0F3B"/>
    <w:multiLevelType w:val="hybridMultilevel"/>
    <w:tmpl w:val="CCD82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766D00"/>
    <w:multiLevelType w:val="multilevel"/>
    <w:tmpl w:val="D1C628D0"/>
    <w:lvl w:ilvl="0">
      <w:start w:val="1"/>
      <w:numFmt w:val="decimal"/>
      <w:pStyle w:val="ReportBullet1"/>
      <w:lvlText w:val="%1."/>
      <w:lvlJc w:val="left"/>
      <w:pPr>
        <w:tabs>
          <w:tab w:val="num" w:pos="360"/>
        </w:tabs>
        <w:ind w:left="360" w:hanging="360"/>
      </w:pPr>
      <w:rPr>
        <w:rFonts w:ascii="Arial" w:hAnsi="Arial" w:cs="Arial" w:hint="default"/>
        <w:b/>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F371168"/>
    <w:multiLevelType w:val="hybridMultilevel"/>
    <w:tmpl w:val="D862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CF4E04"/>
    <w:multiLevelType w:val="hybridMultilevel"/>
    <w:tmpl w:val="3FB6AC6C"/>
    <w:lvl w:ilvl="0" w:tplc="A9C2FE8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D49F4"/>
    <w:multiLevelType w:val="multilevel"/>
    <w:tmpl w:val="971EC5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8B0C31"/>
    <w:multiLevelType w:val="multilevel"/>
    <w:tmpl w:val="C44E8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7B550F"/>
    <w:multiLevelType w:val="multilevel"/>
    <w:tmpl w:val="AB08D42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12287997">
    <w:abstractNumId w:val="6"/>
  </w:num>
  <w:num w:numId="2" w16cid:durableId="782383854">
    <w:abstractNumId w:val="10"/>
  </w:num>
  <w:num w:numId="3" w16cid:durableId="983924212">
    <w:abstractNumId w:val="9"/>
  </w:num>
  <w:num w:numId="4" w16cid:durableId="1634945507">
    <w:abstractNumId w:val="4"/>
  </w:num>
  <w:num w:numId="5" w16cid:durableId="1911766444">
    <w:abstractNumId w:val="3"/>
  </w:num>
  <w:num w:numId="6" w16cid:durableId="732779187">
    <w:abstractNumId w:val="11"/>
  </w:num>
  <w:num w:numId="7" w16cid:durableId="1612274234">
    <w:abstractNumId w:val="1"/>
  </w:num>
  <w:num w:numId="8" w16cid:durableId="2034576311">
    <w:abstractNumId w:val="5"/>
  </w:num>
  <w:num w:numId="9" w16cid:durableId="1981375082">
    <w:abstractNumId w:val="12"/>
  </w:num>
  <w:num w:numId="10" w16cid:durableId="1685669457">
    <w:abstractNumId w:val="8"/>
  </w:num>
  <w:num w:numId="11" w16cid:durableId="1974095482">
    <w:abstractNumId w:val="14"/>
  </w:num>
  <w:num w:numId="12" w16cid:durableId="1915624991">
    <w:abstractNumId w:val="7"/>
  </w:num>
  <w:num w:numId="13" w16cid:durableId="1076052893">
    <w:abstractNumId w:val="15"/>
  </w:num>
  <w:num w:numId="14" w16cid:durableId="2144610973">
    <w:abstractNumId w:val="13"/>
  </w:num>
  <w:num w:numId="15" w16cid:durableId="1957171574">
    <w:abstractNumId w:val="0"/>
  </w:num>
  <w:num w:numId="16" w16cid:durableId="110843218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0"/>
    <w:rsid w:val="00007212"/>
    <w:rsid w:val="00007F00"/>
    <w:rsid w:val="00011713"/>
    <w:rsid w:val="000127AF"/>
    <w:rsid w:val="00012AEB"/>
    <w:rsid w:val="00017C7C"/>
    <w:rsid w:val="000202C5"/>
    <w:rsid w:val="00022FA7"/>
    <w:rsid w:val="00036E4C"/>
    <w:rsid w:val="000410FA"/>
    <w:rsid w:val="0004297E"/>
    <w:rsid w:val="00046C62"/>
    <w:rsid w:val="00047E05"/>
    <w:rsid w:val="00051492"/>
    <w:rsid w:val="000514DA"/>
    <w:rsid w:val="0005566E"/>
    <w:rsid w:val="00057037"/>
    <w:rsid w:val="00070AF4"/>
    <w:rsid w:val="00070DD1"/>
    <w:rsid w:val="00070E7B"/>
    <w:rsid w:val="00080F50"/>
    <w:rsid w:val="000815C5"/>
    <w:rsid w:val="000826C0"/>
    <w:rsid w:val="00082CCC"/>
    <w:rsid w:val="00085EE7"/>
    <w:rsid w:val="00091735"/>
    <w:rsid w:val="00093ABC"/>
    <w:rsid w:val="000949F7"/>
    <w:rsid w:val="00095F1D"/>
    <w:rsid w:val="000975EA"/>
    <w:rsid w:val="000A23E2"/>
    <w:rsid w:val="000B012F"/>
    <w:rsid w:val="000B1977"/>
    <w:rsid w:val="000B1AF3"/>
    <w:rsid w:val="000B2A21"/>
    <w:rsid w:val="000B4656"/>
    <w:rsid w:val="000B65BB"/>
    <w:rsid w:val="000B721F"/>
    <w:rsid w:val="000C04A5"/>
    <w:rsid w:val="000C1CA5"/>
    <w:rsid w:val="000C1EC6"/>
    <w:rsid w:val="000C21F1"/>
    <w:rsid w:val="000D3C76"/>
    <w:rsid w:val="000D52C8"/>
    <w:rsid w:val="000D6E5D"/>
    <w:rsid w:val="000E3C89"/>
    <w:rsid w:val="000E6601"/>
    <w:rsid w:val="000F0A2F"/>
    <w:rsid w:val="000F106F"/>
    <w:rsid w:val="000F210F"/>
    <w:rsid w:val="000F7027"/>
    <w:rsid w:val="001046F0"/>
    <w:rsid w:val="001056E3"/>
    <w:rsid w:val="00105FA7"/>
    <w:rsid w:val="00106267"/>
    <w:rsid w:val="00113165"/>
    <w:rsid w:val="00122348"/>
    <w:rsid w:val="00122C34"/>
    <w:rsid w:val="00124BD2"/>
    <w:rsid w:val="00125127"/>
    <w:rsid w:val="001265A5"/>
    <w:rsid w:val="00127031"/>
    <w:rsid w:val="00130757"/>
    <w:rsid w:val="00131E52"/>
    <w:rsid w:val="00132DEC"/>
    <w:rsid w:val="00135824"/>
    <w:rsid w:val="001411F6"/>
    <w:rsid w:val="001448C5"/>
    <w:rsid w:val="00144C07"/>
    <w:rsid w:val="00144E7C"/>
    <w:rsid w:val="00153434"/>
    <w:rsid w:val="001538A2"/>
    <w:rsid w:val="00155BB0"/>
    <w:rsid w:val="00157609"/>
    <w:rsid w:val="001626CF"/>
    <w:rsid w:val="0016482C"/>
    <w:rsid w:val="001707F1"/>
    <w:rsid w:val="00172FE1"/>
    <w:rsid w:val="001737B4"/>
    <w:rsid w:val="00177687"/>
    <w:rsid w:val="001819B8"/>
    <w:rsid w:val="0019165D"/>
    <w:rsid w:val="00196FB5"/>
    <w:rsid w:val="001A1B28"/>
    <w:rsid w:val="001A1C20"/>
    <w:rsid w:val="001A257C"/>
    <w:rsid w:val="001A3E97"/>
    <w:rsid w:val="001A4F1C"/>
    <w:rsid w:val="001A6A63"/>
    <w:rsid w:val="001B085A"/>
    <w:rsid w:val="001B08DA"/>
    <w:rsid w:val="001B325B"/>
    <w:rsid w:val="001B635C"/>
    <w:rsid w:val="001C01D6"/>
    <w:rsid w:val="001C292B"/>
    <w:rsid w:val="001C3A11"/>
    <w:rsid w:val="001C3B49"/>
    <w:rsid w:val="001C50F6"/>
    <w:rsid w:val="001D2D6D"/>
    <w:rsid w:val="001D5349"/>
    <w:rsid w:val="001D75D3"/>
    <w:rsid w:val="001E3949"/>
    <w:rsid w:val="001E56A2"/>
    <w:rsid w:val="001F2817"/>
    <w:rsid w:val="001F57CF"/>
    <w:rsid w:val="002028C6"/>
    <w:rsid w:val="0021024F"/>
    <w:rsid w:val="0021122A"/>
    <w:rsid w:val="00211AE5"/>
    <w:rsid w:val="00213C37"/>
    <w:rsid w:val="00221CDF"/>
    <w:rsid w:val="00224963"/>
    <w:rsid w:val="00227A8D"/>
    <w:rsid w:val="002303BC"/>
    <w:rsid w:val="002307E5"/>
    <w:rsid w:val="002376E6"/>
    <w:rsid w:val="00240A19"/>
    <w:rsid w:val="00241ADB"/>
    <w:rsid w:val="00241B29"/>
    <w:rsid w:val="00244FD8"/>
    <w:rsid w:val="00245778"/>
    <w:rsid w:val="00246A79"/>
    <w:rsid w:val="00251C08"/>
    <w:rsid w:val="002527AC"/>
    <w:rsid w:val="00257770"/>
    <w:rsid w:val="00257DE9"/>
    <w:rsid w:val="0026088A"/>
    <w:rsid w:val="00264564"/>
    <w:rsid w:val="00264F35"/>
    <w:rsid w:val="00265AFA"/>
    <w:rsid w:val="0027056A"/>
    <w:rsid w:val="00273417"/>
    <w:rsid w:val="002765F8"/>
    <w:rsid w:val="0028176C"/>
    <w:rsid w:val="00281770"/>
    <w:rsid w:val="00282BB6"/>
    <w:rsid w:val="002831EC"/>
    <w:rsid w:val="00287967"/>
    <w:rsid w:val="00290B1A"/>
    <w:rsid w:val="00291956"/>
    <w:rsid w:val="002A08F3"/>
    <w:rsid w:val="002A31FC"/>
    <w:rsid w:val="002B2FC6"/>
    <w:rsid w:val="002B4802"/>
    <w:rsid w:val="002C1489"/>
    <w:rsid w:val="002C331E"/>
    <w:rsid w:val="002C4CFE"/>
    <w:rsid w:val="002C5D4D"/>
    <w:rsid w:val="002C77FA"/>
    <w:rsid w:val="002D0AAB"/>
    <w:rsid w:val="002D3A0D"/>
    <w:rsid w:val="002D3A2B"/>
    <w:rsid w:val="002D4D70"/>
    <w:rsid w:val="002D5076"/>
    <w:rsid w:val="002D7091"/>
    <w:rsid w:val="002F1A33"/>
    <w:rsid w:val="00303C04"/>
    <w:rsid w:val="0030607A"/>
    <w:rsid w:val="003061F4"/>
    <w:rsid w:val="003111EF"/>
    <w:rsid w:val="003126BB"/>
    <w:rsid w:val="00316876"/>
    <w:rsid w:val="0032348B"/>
    <w:rsid w:val="00323B6D"/>
    <w:rsid w:val="0033073E"/>
    <w:rsid w:val="00331301"/>
    <w:rsid w:val="00331345"/>
    <w:rsid w:val="0033241A"/>
    <w:rsid w:val="0033250F"/>
    <w:rsid w:val="00334C87"/>
    <w:rsid w:val="003355D6"/>
    <w:rsid w:val="00336A15"/>
    <w:rsid w:val="00352669"/>
    <w:rsid w:val="00366542"/>
    <w:rsid w:val="003750E2"/>
    <w:rsid w:val="00376185"/>
    <w:rsid w:val="0037635A"/>
    <w:rsid w:val="00382486"/>
    <w:rsid w:val="003871B4"/>
    <w:rsid w:val="003A2D71"/>
    <w:rsid w:val="003B6934"/>
    <w:rsid w:val="003C4D5C"/>
    <w:rsid w:val="003C54BF"/>
    <w:rsid w:val="003C74CE"/>
    <w:rsid w:val="003D3E64"/>
    <w:rsid w:val="003D4297"/>
    <w:rsid w:val="003D44FF"/>
    <w:rsid w:val="003D4970"/>
    <w:rsid w:val="003E4285"/>
    <w:rsid w:val="003F4DAA"/>
    <w:rsid w:val="00401081"/>
    <w:rsid w:val="00401090"/>
    <w:rsid w:val="004035B4"/>
    <w:rsid w:val="004038C0"/>
    <w:rsid w:val="00404CD0"/>
    <w:rsid w:val="00416DA9"/>
    <w:rsid w:val="00423F95"/>
    <w:rsid w:val="0042533B"/>
    <w:rsid w:val="00427137"/>
    <w:rsid w:val="00432620"/>
    <w:rsid w:val="00432B38"/>
    <w:rsid w:val="004377F9"/>
    <w:rsid w:val="00442585"/>
    <w:rsid w:val="0044426B"/>
    <w:rsid w:val="004464A1"/>
    <w:rsid w:val="00450AAC"/>
    <w:rsid w:val="00450C21"/>
    <w:rsid w:val="004512B0"/>
    <w:rsid w:val="00456081"/>
    <w:rsid w:val="00457368"/>
    <w:rsid w:val="00465761"/>
    <w:rsid w:val="00465FE5"/>
    <w:rsid w:val="00466AAC"/>
    <w:rsid w:val="00472022"/>
    <w:rsid w:val="00476156"/>
    <w:rsid w:val="00477895"/>
    <w:rsid w:val="00480A74"/>
    <w:rsid w:val="004829C6"/>
    <w:rsid w:val="004850AE"/>
    <w:rsid w:val="0048586E"/>
    <w:rsid w:val="00494535"/>
    <w:rsid w:val="00497F6D"/>
    <w:rsid w:val="004A3BA6"/>
    <w:rsid w:val="004A3DA8"/>
    <w:rsid w:val="004B27DB"/>
    <w:rsid w:val="004B3210"/>
    <w:rsid w:val="004B553D"/>
    <w:rsid w:val="004C05FD"/>
    <w:rsid w:val="004C27D4"/>
    <w:rsid w:val="004C370C"/>
    <w:rsid w:val="004C48DC"/>
    <w:rsid w:val="004C70F8"/>
    <w:rsid w:val="004D7442"/>
    <w:rsid w:val="004E6DDF"/>
    <w:rsid w:val="004F1A8A"/>
    <w:rsid w:val="004F2578"/>
    <w:rsid w:val="004F3C7C"/>
    <w:rsid w:val="004F5555"/>
    <w:rsid w:val="00506974"/>
    <w:rsid w:val="00510775"/>
    <w:rsid w:val="00510FE3"/>
    <w:rsid w:val="005210A0"/>
    <w:rsid w:val="00522D3C"/>
    <w:rsid w:val="0052335A"/>
    <w:rsid w:val="00524B29"/>
    <w:rsid w:val="005271AA"/>
    <w:rsid w:val="005309E7"/>
    <w:rsid w:val="00540A12"/>
    <w:rsid w:val="00542528"/>
    <w:rsid w:val="00542539"/>
    <w:rsid w:val="00542F3C"/>
    <w:rsid w:val="00544DCE"/>
    <w:rsid w:val="00547534"/>
    <w:rsid w:val="005500A9"/>
    <w:rsid w:val="00551143"/>
    <w:rsid w:val="005519A0"/>
    <w:rsid w:val="0055457B"/>
    <w:rsid w:val="005566CB"/>
    <w:rsid w:val="00557847"/>
    <w:rsid w:val="00560CD1"/>
    <w:rsid w:val="0056522B"/>
    <w:rsid w:val="00571974"/>
    <w:rsid w:val="0057656C"/>
    <w:rsid w:val="00577F40"/>
    <w:rsid w:val="00580D55"/>
    <w:rsid w:val="0058165E"/>
    <w:rsid w:val="0058389F"/>
    <w:rsid w:val="00586829"/>
    <w:rsid w:val="00590519"/>
    <w:rsid w:val="00590C12"/>
    <w:rsid w:val="00595368"/>
    <w:rsid w:val="005971F5"/>
    <w:rsid w:val="005A2344"/>
    <w:rsid w:val="005B3791"/>
    <w:rsid w:val="005B3C63"/>
    <w:rsid w:val="005B4516"/>
    <w:rsid w:val="005B4E34"/>
    <w:rsid w:val="005C0882"/>
    <w:rsid w:val="005C5064"/>
    <w:rsid w:val="005D362D"/>
    <w:rsid w:val="005D591E"/>
    <w:rsid w:val="005E14B1"/>
    <w:rsid w:val="005E7A6C"/>
    <w:rsid w:val="005F069E"/>
    <w:rsid w:val="005F146C"/>
    <w:rsid w:val="005F32CE"/>
    <w:rsid w:val="005F6268"/>
    <w:rsid w:val="00604C43"/>
    <w:rsid w:val="006165B1"/>
    <w:rsid w:val="00621FD9"/>
    <w:rsid w:val="006224F6"/>
    <w:rsid w:val="006263B7"/>
    <w:rsid w:val="0063507F"/>
    <w:rsid w:val="00642982"/>
    <w:rsid w:val="006458BB"/>
    <w:rsid w:val="00645F1B"/>
    <w:rsid w:val="00646F67"/>
    <w:rsid w:val="0064723E"/>
    <w:rsid w:val="006477F4"/>
    <w:rsid w:val="0065176F"/>
    <w:rsid w:val="00652D4E"/>
    <w:rsid w:val="00656A8F"/>
    <w:rsid w:val="00660D03"/>
    <w:rsid w:val="006612B6"/>
    <w:rsid w:val="0066150E"/>
    <w:rsid w:val="00665732"/>
    <w:rsid w:val="00674124"/>
    <w:rsid w:val="00674DC9"/>
    <w:rsid w:val="00675DBD"/>
    <w:rsid w:val="00677B54"/>
    <w:rsid w:val="006811F0"/>
    <w:rsid w:val="0068313D"/>
    <w:rsid w:val="006841BF"/>
    <w:rsid w:val="00691779"/>
    <w:rsid w:val="00694E1E"/>
    <w:rsid w:val="006966E5"/>
    <w:rsid w:val="006A6C79"/>
    <w:rsid w:val="006A7AC6"/>
    <w:rsid w:val="006B2F50"/>
    <w:rsid w:val="006B3F80"/>
    <w:rsid w:val="006B6A83"/>
    <w:rsid w:val="006C25B0"/>
    <w:rsid w:val="006C3750"/>
    <w:rsid w:val="006C6C12"/>
    <w:rsid w:val="006D3175"/>
    <w:rsid w:val="006D3500"/>
    <w:rsid w:val="006D7C40"/>
    <w:rsid w:val="006D7E44"/>
    <w:rsid w:val="006E6A3D"/>
    <w:rsid w:val="006E73BE"/>
    <w:rsid w:val="006F11C0"/>
    <w:rsid w:val="006F23B2"/>
    <w:rsid w:val="006F4423"/>
    <w:rsid w:val="006F4EAF"/>
    <w:rsid w:val="00702F41"/>
    <w:rsid w:val="0070331E"/>
    <w:rsid w:val="00717F78"/>
    <w:rsid w:val="00726A51"/>
    <w:rsid w:val="00726CD3"/>
    <w:rsid w:val="0073140A"/>
    <w:rsid w:val="00733B62"/>
    <w:rsid w:val="00734131"/>
    <w:rsid w:val="00734758"/>
    <w:rsid w:val="007367CD"/>
    <w:rsid w:val="00736A7A"/>
    <w:rsid w:val="007374BB"/>
    <w:rsid w:val="00737B97"/>
    <w:rsid w:val="00737CDC"/>
    <w:rsid w:val="007441EB"/>
    <w:rsid w:val="00745B6F"/>
    <w:rsid w:val="00746115"/>
    <w:rsid w:val="00747D55"/>
    <w:rsid w:val="00747F5B"/>
    <w:rsid w:val="00754AE4"/>
    <w:rsid w:val="00755CFC"/>
    <w:rsid w:val="007643AB"/>
    <w:rsid w:val="00764F68"/>
    <w:rsid w:val="007715BB"/>
    <w:rsid w:val="00773454"/>
    <w:rsid w:val="00782021"/>
    <w:rsid w:val="00784850"/>
    <w:rsid w:val="007857C8"/>
    <w:rsid w:val="007864E5"/>
    <w:rsid w:val="007867DF"/>
    <w:rsid w:val="007868CA"/>
    <w:rsid w:val="007A0536"/>
    <w:rsid w:val="007A743F"/>
    <w:rsid w:val="007A7A76"/>
    <w:rsid w:val="007B0C3A"/>
    <w:rsid w:val="007B547D"/>
    <w:rsid w:val="007B5660"/>
    <w:rsid w:val="007B7D50"/>
    <w:rsid w:val="007C2601"/>
    <w:rsid w:val="007C414D"/>
    <w:rsid w:val="007C471C"/>
    <w:rsid w:val="007D2B1E"/>
    <w:rsid w:val="007E18EE"/>
    <w:rsid w:val="007E2DDD"/>
    <w:rsid w:val="007E311C"/>
    <w:rsid w:val="007E55DC"/>
    <w:rsid w:val="007E5819"/>
    <w:rsid w:val="007E68E0"/>
    <w:rsid w:val="007F49F0"/>
    <w:rsid w:val="007F76D7"/>
    <w:rsid w:val="008010BA"/>
    <w:rsid w:val="00801342"/>
    <w:rsid w:val="008059EE"/>
    <w:rsid w:val="00810C51"/>
    <w:rsid w:val="00815034"/>
    <w:rsid w:val="00820E0E"/>
    <w:rsid w:val="00821D77"/>
    <w:rsid w:val="00825BBD"/>
    <w:rsid w:val="008272D2"/>
    <w:rsid w:val="00827D89"/>
    <w:rsid w:val="008318E9"/>
    <w:rsid w:val="008322A2"/>
    <w:rsid w:val="0083539A"/>
    <w:rsid w:val="00835E13"/>
    <w:rsid w:val="00840A97"/>
    <w:rsid w:val="00845407"/>
    <w:rsid w:val="0084713D"/>
    <w:rsid w:val="008631D3"/>
    <w:rsid w:val="008640A9"/>
    <w:rsid w:val="00870144"/>
    <w:rsid w:val="0087027E"/>
    <w:rsid w:val="00880402"/>
    <w:rsid w:val="00886086"/>
    <w:rsid w:val="0088724B"/>
    <w:rsid w:val="00890DB7"/>
    <w:rsid w:val="00891DFB"/>
    <w:rsid w:val="00895400"/>
    <w:rsid w:val="008A75EC"/>
    <w:rsid w:val="008B3C4E"/>
    <w:rsid w:val="008B57B6"/>
    <w:rsid w:val="008B66ED"/>
    <w:rsid w:val="008B7905"/>
    <w:rsid w:val="008B7E1F"/>
    <w:rsid w:val="008C0F51"/>
    <w:rsid w:val="008C2F10"/>
    <w:rsid w:val="008D17CE"/>
    <w:rsid w:val="008D3A18"/>
    <w:rsid w:val="008D49C7"/>
    <w:rsid w:val="008D5CAB"/>
    <w:rsid w:val="008E05BC"/>
    <w:rsid w:val="008E4671"/>
    <w:rsid w:val="008E66B2"/>
    <w:rsid w:val="008E6EFA"/>
    <w:rsid w:val="008F03BB"/>
    <w:rsid w:val="008F06DB"/>
    <w:rsid w:val="008F2E6B"/>
    <w:rsid w:val="008F5481"/>
    <w:rsid w:val="008F5FB2"/>
    <w:rsid w:val="00901F72"/>
    <w:rsid w:val="009049EA"/>
    <w:rsid w:val="00911880"/>
    <w:rsid w:val="009125DD"/>
    <w:rsid w:val="00915555"/>
    <w:rsid w:val="0091793F"/>
    <w:rsid w:val="00917EF0"/>
    <w:rsid w:val="00923087"/>
    <w:rsid w:val="009232F6"/>
    <w:rsid w:val="00924E00"/>
    <w:rsid w:val="00926399"/>
    <w:rsid w:val="00927C37"/>
    <w:rsid w:val="00932CAB"/>
    <w:rsid w:val="00935CCF"/>
    <w:rsid w:val="00935CD6"/>
    <w:rsid w:val="009424AF"/>
    <w:rsid w:val="00947D80"/>
    <w:rsid w:val="00951F4A"/>
    <w:rsid w:val="00952756"/>
    <w:rsid w:val="00954969"/>
    <w:rsid w:val="009719C0"/>
    <w:rsid w:val="00972732"/>
    <w:rsid w:val="00986B3E"/>
    <w:rsid w:val="00992C84"/>
    <w:rsid w:val="00993BDA"/>
    <w:rsid w:val="00994D7D"/>
    <w:rsid w:val="00995887"/>
    <w:rsid w:val="009976B9"/>
    <w:rsid w:val="009A0890"/>
    <w:rsid w:val="009A306F"/>
    <w:rsid w:val="009A5576"/>
    <w:rsid w:val="009A5C9B"/>
    <w:rsid w:val="009B2BF5"/>
    <w:rsid w:val="009B57A3"/>
    <w:rsid w:val="009C7AAF"/>
    <w:rsid w:val="009C7FEE"/>
    <w:rsid w:val="009D1E15"/>
    <w:rsid w:val="009D1F32"/>
    <w:rsid w:val="009E065E"/>
    <w:rsid w:val="009E0EFD"/>
    <w:rsid w:val="009E19D3"/>
    <w:rsid w:val="009E1E11"/>
    <w:rsid w:val="009E6D59"/>
    <w:rsid w:val="009F1C32"/>
    <w:rsid w:val="009F38A0"/>
    <w:rsid w:val="00A01167"/>
    <w:rsid w:val="00A0119E"/>
    <w:rsid w:val="00A05CFC"/>
    <w:rsid w:val="00A12026"/>
    <w:rsid w:val="00A125BC"/>
    <w:rsid w:val="00A162AE"/>
    <w:rsid w:val="00A2066C"/>
    <w:rsid w:val="00A2347F"/>
    <w:rsid w:val="00A27840"/>
    <w:rsid w:val="00A3085B"/>
    <w:rsid w:val="00A40CFA"/>
    <w:rsid w:val="00A4432E"/>
    <w:rsid w:val="00A4714D"/>
    <w:rsid w:val="00A50B05"/>
    <w:rsid w:val="00A5444D"/>
    <w:rsid w:val="00A63A8E"/>
    <w:rsid w:val="00A76480"/>
    <w:rsid w:val="00A7679F"/>
    <w:rsid w:val="00A77831"/>
    <w:rsid w:val="00A80BBA"/>
    <w:rsid w:val="00A81CEF"/>
    <w:rsid w:val="00A834BC"/>
    <w:rsid w:val="00A846C4"/>
    <w:rsid w:val="00A8647D"/>
    <w:rsid w:val="00A8671F"/>
    <w:rsid w:val="00A86D82"/>
    <w:rsid w:val="00A87613"/>
    <w:rsid w:val="00A87E0A"/>
    <w:rsid w:val="00A90C76"/>
    <w:rsid w:val="00A93017"/>
    <w:rsid w:val="00A93528"/>
    <w:rsid w:val="00A941CE"/>
    <w:rsid w:val="00A95D4A"/>
    <w:rsid w:val="00AA51AB"/>
    <w:rsid w:val="00AA54F0"/>
    <w:rsid w:val="00AA6246"/>
    <w:rsid w:val="00AB3942"/>
    <w:rsid w:val="00AC5152"/>
    <w:rsid w:val="00AD32CE"/>
    <w:rsid w:val="00AD43F7"/>
    <w:rsid w:val="00AD4C00"/>
    <w:rsid w:val="00AD5E88"/>
    <w:rsid w:val="00AE0169"/>
    <w:rsid w:val="00AE0AB7"/>
    <w:rsid w:val="00AE3634"/>
    <w:rsid w:val="00AE428D"/>
    <w:rsid w:val="00AE55C4"/>
    <w:rsid w:val="00AE5DC6"/>
    <w:rsid w:val="00AF092B"/>
    <w:rsid w:val="00AF5571"/>
    <w:rsid w:val="00B06CEE"/>
    <w:rsid w:val="00B138EE"/>
    <w:rsid w:val="00B1619D"/>
    <w:rsid w:val="00B16340"/>
    <w:rsid w:val="00B24DFF"/>
    <w:rsid w:val="00B26953"/>
    <w:rsid w:val="00B27F0B"/>
    <w:rsid w:val="00B31123"/>
    <w:rsid w:val="00B313D1"/>
    <w:rsid w:val="00B32E71"/>
    <w:rsid w:val="00B370B2"/>
    <w:rsid w:val="00B4401F"/>
    <w:rsid w:val="00B460F8"/>
    <w:rsid w:val="00B47AC1"/>
    <w:rsid w:val="00B524EC"/>
    <w:rsid w:val="00B558B0"/>
    <w:rsid w:val="00B655CC"/>
    <w:rsid w:val="00B701D0"/>
    <w:rsid w:val="00B70601"/>
    <w:rsid w:val="00B73288"/>
    <w:rsid w:val="00B81C2A"/>
    <w:rsid w:val="00B91EC5"/>
    <w:rsid w:val="00B96872"/>
    <w:rsid w:val="00BA1074"/>
    <w:rsid w:val="00BA511C"/>
    <w:rsid w:val="00BB5BFB"/>
    <w:rsid w:val="00BC4810"/>
    <w:rsid w:val="00BD5F1F"/>
    <w:rsid w:val="00BE0D84"/>
    <w:rsid w:val="00BF3028"/>
    <w:rsid w:val="00BF39F6"/>
    <w:rsid w:val="00BF3BB7"/>
    <w:rsid w:val="00BF5235"/>
    <w:rsid w:val="00BF6D67"/>
    <w:rsid w:val="00C01E86"/>
    <w:rsid w:val="00C04D74"/>
    <w:rsid w:val="00C055DE"/>
    <w:rsid w:val="00C10D09"/>
    <w:rsid w:val="00C111FF"/>
    <w:rsid w:val="00C16420"/>
    <w:rsid w:val="00C16839"/>
    <w:rsid w:val="00C20037"/>
    <w:rsid w:val="00C20A5D"/>
    <w:rsid w:val="00C2642D"/>
    <w:rsid w:val="00C3057C"/>
    <w:rsid w:val="00C30D48"/>
    <w:rsid w:val="00C31090"/>
    <w:rsid w:val="00C31BDB"/>
    <w:rsid w:val="00C346DD"/>
    <w:rsid w:val="00C35F80"/>
    <w:rsid w:val="00C360D7"/>
    <w:rsid w:val="00C4250E"/>
    <w:rsid w:val="00C446F5"/>
    <w:rsid w:val="00C46333"/>
    <w:rsid w:val="00C54B18"/>
    <w:rsid w:val="00C60263"/>
    <w:rsid w:val="00C620AF"/>
    <w:rsid w:val="00C631ED"/>
    <w:rsid w:val="00C65ADA"/>
    <w:rsid w:val="00C7055A"/>
    <w:rsid w:val="00C7071C"/>
    <w:rsid w:val="00C71BC4"/>
    <w:rsid w:val="00C75C79"/>
    <w:rsid w:val="00C80355"/>
    <w:rsid w:val="00C80423"/>
    <w:rsid w:val="00C82958"/>
    <w:rsid w:val="00C829AA"/>
    <w:rsid w:val="00C8434D"/>
    <w:rsid w:val="00C849C0"/>
    <w:rsid w:val="00C85A39"/>
    <w:rsid w:val="00C869BC"/>
    <w:rsid w:val="00C911C4"/>
    <w:rsid w:val="00CA16AD"/>
    <w:rsid w:val="00CA2768"/>
    <w:rsid w:val="00CA78C7"/>
    <w:rsid w:val="00CC012C"/>
    <w:rsid w:val="00CC12E9"/>
    <w:rsid w:val="00CC38B2"/>
    <w:rsid w:val="00CD1312"/>
    <w:rsid w:val="00CD141E"/>
    <w:rsid w:val="00CD3638"/>
    <w:rsid w:val="00CD53ED"/>
    <w:rsid w:val="00CF54BE"/>
    <w:rsid w:val="00D03403"/>
    <w:rsid w:val="00D060B6"/>
    <w:rsid w:val="00D128E4"/>
    <w:rsid w:val="00D138F5"/>
    <w:rsid w:val="00D15684"/>
    <w:rsid w:val="00D202BC"/>
    <w:rsid w:val="00D22CFC"/>
    <w:rsid w:val="00D26A48"/>
    <w:rsid w:val="00D31898"/>
    <w:rsid w:val="00D349DE"/>
    <w:rsid w:val="00D35008"/>
    <w:rsid w:val="00D3733B"/>
    <w:rsid w:val="00D373F1"/>
    <w:rsid w:val="00D43A01"/>
    <w:rsid w:val="00D60DF8"/>
    <w:rsid w:val="00D748D2"/>
    <w:rsid w:val="00D74A86"/>
    <w:rsid w:val="00D751F4"/>
    <w:rsid w:val="00D75605"/>
    <w:rsid w:val="00D7574D"/>
    <w:rsid w:val="00D8108B"/>
    <w:rsid w:val="00D942AE"/>
    <w:rsid w:val="00D96481"/>
    <w:rsid w:val="00D97ABB"/>
    <w:rsid w:val="00DA0ED6"/>
    <w:rsid w:val="00DA2019"/>
    <w:rsid w:val="00DA2F96"/>
    <w:rsid w:val="00DA6D6A"/>
    <w:rsid w:val="00DA6F94"/>
    <w:rsid w:val="00DB1A6A"/>
    <w:rsid w:val="00DB230E"/>
    <w:rsid w:val="00DB3206"/>
    <w:rsid w:val="00DC0A0A"/>
    <w:rsid w:val="00DC0D1F"/>
    <w:rsid w:val="00DC0EF4"/>
    <w:rsid w:val="00DC2458"/>
    <w:rsid w:val="00DC465B"/>
    <w:rsid w:val="00DC6A8D"/>
    <w:rsid w:val="00DD0D5E"/>
    <w:rsid w:val="00DD1243"/>
    <w:rsid w:val="00DD1FD1"/>
    <w:rsid w:val="00DD33BD"/>
    <w:rsid w:val="00DD57A7"/>
    <w:rsid w:val="00DD6B04"/>
    <w:rsid w:val="00DE1668"/>
    <w:rsid w:val="00DE2243"/>
    <w:rsid w:val="00DF39BA"/>
    <w:rsid w:val="00DF571E"/>
    <w:rsid w:val="00DF76C1"/>
    <w:rsid w:val="00E11FEC"/>
    <w:rsid w:val="00E12BD2"/>
    <w:rsid w:val="00E14496"/>
    <w:rsid w:val="00E158FE"/>
    <w:rsid w:val="00E168FD"/>
    <w:rsid w:val="00E16E0A"/>
    <w:rsid w:val="00E16FA0"/>
    <w:rsid w:val="00E25F49"/>
    <w:rsid w:val="00E27791"/>
    <w:rsid w:val="00E33D14"/>
    <w:rsid w:val="00E41BC7"/>
    <w:rsid w:val="00E431A9"/>
    <w:rsid w:val="00E452E1"/>
    <w:rsid w:val="00E620F6"/>
    <w:rsid w:val="00E660FE"/>
    <w:rsid w:val="00E679EC"/>
    <w:rsid w:val="00E71A56"/>
    <w:rsid w:val="00E73C9D"/>
    <w:rsid w:val="00E76156"/>
    <w:rsid w:val="00E77594"/>
    <w:rsid w:val="00E82FD1"/>
    <w:rsid w:val="00E84A76"/>
    <w:rsid w:val="00E84DCB"/>
    <w:rsid w:val="00E84DE0"/>
    <w:rsid w:val="00E85840"/>
    <w:rsid w:val="00E85882"/>
    <w:rsid w:val="00E86B6F"/>
    <w:rsid w:val="00E86ED0"/>
    <w:rsid w:val="00E92897"/>
    <w:rsid w:val="00E9646E"/>
    <w:rsid w:val="00E96644"/>
    <w:rsid w:val="00EA3B4B"/>
    <w:rsid w:val="00EB34DB"/>
    <w:rsid w:val="00EB4045"/>
    <w:rsid w:val="00EB68D2"/>
    <w:rsid w:val="00EC31B2"/>
    <w:rsid w:val="00EC520A"/>
    <w:rsid w:val="00EC5FE7"/>
    <w:rsid w:val="00EC6902"/>
    <w:rsid w:val="00EE25BA"/>
    <w:rsid w:val="00EF0A64"/>
    <w:rsid w:val="00EF1C9A"/>
    <w:rsid w:val="00EF572E"/>
    <w:rsid w:val="00EF7F88"/>
    <w:rsid w:val="00F00A92"/>
    <w:rsid w:val="00F05663"/>
    <w:rsid w:val="00F0598B"/>
    <w:rsid w:val="00F12DF1"/>
    <w:rsid w:val="00F1359D"/>
    <w:rsid w:val="00F145D6"/>
    <w:rsid w:val="00F2016A"/>
    <w:rsid w:val="00F20436"/>
    <w:rsid w:val="00F21A78"/>
    <w:rsid w:val="00F22767"/>
    <w:rsid w:val="00F23236"/>
    <w:rsid w:val="00F23378"/>
    <w:rsid w:val="00F2393D"/>
    <w:rsid w:val="00F40644"/>
    <w:rsid w:val="00F411D2"/>
    <w:rsid w:val="00F43947"/>
    <w:rsid w:val="00F51F40"/>
    <w:rsid w:val="00F52848"/>
    <w:rsid w:val="00F54CA6"/>
    <w:rsid w:val="00F567F4"/>
    <w:rsid w:val="00F62008"/>
    <w:rsid w:val="00F63BD2"/>
    <w:rsid w:val="00F63FC2"/>
    <w:rsid w:val="00F732A7"/>
    <w:rsid w:val="00F743CE"/>
    <w:rsid w:val="00F769B9"/>
    <w:rsid w:val="00F804E5"/>
    <w:rsid w:val="00F807C8"/>
    <w:rsid w:val="00F80EB3"/>
    <w:rsid w:val="00F80F12"/>
    <w:rsid w:val="00F83633"/>
    <w:rsid w:val="00F86319"/>
    <w:rsid w:val="00F91E11"/>
    <w:rsid w:val="00F94E88"/>
    <w:rsid w:val="00FA29D5"/>
    <w:rsid w:val="00FA37EB"/>
    <w:rsid w:val="00FA494F"/>
    <w:rsid w:val="00FA4FEE"/>
    <w:rsid w:val="00FB0350"/>
    <w:rsid w:val="00FB0C4E"/>
    <w:rsid w:val="00FB2D86"/>
    <w:rsid w:val="00FB30F5"/>
    <w:rsid w:val="00FB5D2D"/>
    <w:rsid w:val="00FB5E4C"/>
    <w:rsid w:val="00FC23CC"/>
    <w:rsid w:val="00FC5E88"/>
    <w:rsid w:val="00FD2917"/>
    <w:rsid w:val="00FE799B"/>
    <w:rsid w:val="00FE7D1F"/>
    <w:rsid w:val="00FF077E"/>
    <w:rsid w:val="00FF331B"/>
    <w:rsid w:val="00FF38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F3A95"/>
  <w15:docId w15:val="{41C2B084-4140-4A4E-BD2B-B6F2F45A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B6F"/>
    <w:pPr>
      <w:contextualSpacing/>
    </w:pPr>
    <w:rPr>
      <w:rFonts w:ascii="Arial" w:hAnsi="Arial" w:cs="Arial"/>
      <w:sz w:val="24"/>
      <w:szCs w:val="22"/>
    </w:rPr>
  </w:style>
  <w:style w:type="paragraph" w:styleId="Heading1">
    <w:name w:val="heading 1"/>
    <w:basedOn w:val="Normal"/>
    <w:next w:val="Normal"/>
    <w:link w:val="Heading1Char"/>
    <w:uiPriority w:val="9"/>
    <w:qFormat/>
    <w:rsid w:val="00890DB7"/>
    <w:pPr>
      <w:outlineLvl w:val="0"/>
    </w:pPr>
    <w:rPr>
      <w:color w:val="0072C6"/>
      <w:sz w:val="48"/>
      <w:szCs w:val="48"/>
    </w:rPr>
  </w:style>
  <w:style w:type="paragraph" w:styleId="Heading2">
    <w:name w:val="heading 2"/>
    <w:aliases w:val="Table Heading"/>
    <w:basedOn w:val="Normal"/>
    <w:next w:val="Normal"/>
    <w:link w:val="Heading2Char"/>
    <w:uiPriority w:val="9"/>
    <w:unhideWhenUsed/>
    <w:qFormat/>
    <w:rsid w:val="00890DB7"/>
    <w:pPr>
      <w:outlineLvl w:val="1"/>
    </w:pPr>
    <w:rPr>
      <w:b/>
      <w:color w:val="0072C6"/>
      <w:sz w:val="18"/>
      <w:szCs w:val="18"/>
    </w:rPr>
  </w:style>
  <w:style w:type="paragraph" w:styleId="Heading3">
    <w:name w:val="heading 3"/>
    <w:aliases w:val="Front Page heading"/>
    <w:basedOn w:val="Heading1"/>
    <w:next w:val="Normal"/>
    <w:link w:val="Heading3Char"/>
    <w:uiPriority w:val="9"/>
    <w:unhideWhenUsed/>
    <w:qFormat/>
    <w:rsid w:val="00890DB7"/>
    <w:pPr>
      <w:outlineLvl w:val="2"/>
    </w:pPr>
    <w:rPr>
      <w:b/>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436"/>
    <w:pPr>
      <w:tabs>
        <w:tab w:val="center" w:pos="4513"/>
        <w:tab w:val="right" w:pos="9026"/>
      </w:tabs>
    </w:pPr>
  </w:style>
  <w:style w:type="character" w:customStyle="1" w:styleId="HeaderChar">
    <w:name w:val="Header Char"/>
    <w:basedOn w:val="DefaultParagraphFont"/>
    <w:link w:val="Header"/>
    <w:uiPriority w:val="99"/>
    <w:rsid w:val="00F20436"/>
  </w:style>
  <w:style w:type="paragraph" w:styleId="Footer">
    <w:name w:val="footer"/>
    <w:basedOn w:val="Normal"/>
    <w:link w:val="FooterChar"/>
    <w:uiPriority w:val="99"/>
    <w:unhideWhenUsed/>
    <w:rsid w:val="00F20436"/>
    <w:pPr>
      <w:tabs>
        <w:tab w:val="center" w:pos="4513"/>
        <w:tab w:val="right" w:pos="9026"/>
      </w:tabs>
    </w:pPr>
  </w:style>
  <w:style w:type="character" w:customStyle="1" w:styleId="FooterChar">
    <w:name w:val="Footer Char"/>
    <w:basedOn w:val="DefaultParagraphFont"/>
    <w:link w:val="Footer"/>
    <w:uiPriority w:val="99"/>
    <w:rsid w:val="00F20436"/>
  </w:style>
  <w:style w:type="table" w:styleId="TableGrid">
    <w:name w:val="Table Grid"/>
    <w:basedOn w:val="TableNormal"/>
    <w:rsid w:val="0083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rmal 9pt"/>
    <w:basedOn w:val="Normal"/>
    <w:uiPriority w:val="1"/>
    <w:qFormat/>
    <w:rsid w:val="00890DB7"/>
    <w:rPr>
      <w:sz w:val="18"/>
      <w:szCs w:val="18"/>
    </w:rPr>
  </w:style>
  <w:style w:type="character" w:customStyle="1" w:styleId="Heading1Char">
    <w:name w:val="Heading 1 Char"/>
    <w:link w:val="Heading1"/>
    <w:uiPriority w:val="9"/>
    <w:rsid w:val="00890DB7"/>
    <w:rPr>
      <w:rFonts w:ascii="Arial" w:hAnsi="Arial" w:cs="Arial"/>
      <w:color w:val="0072C6"/>
      <w:sz w:val="48"/>
      <w:szCs w:val="48"/>
    </w:rPr>
  </w:style>
  <w:style w:type="character" w:customStyle="1" w:styleId="Heading2Char">
    <w:name w:val="Heading 2 Char"/>
    <w:aliases w:val="Table Heading Char"/>
    <w:link w:val="Heading2"/>
    <w:uiPriority w:val="9"/>
    <w:rsid w:val="00890DB7"/>
    <w:rPr>
      <w:rFonts w:ascii="Arial" w:hAnsi="Arial" w:cs="Arial"/>
      <w:b/>
      <w:color w:val="0072C6"/>
      <w:sz w:val="18"/>
      <w:szCs w:val="18"/>
    </w:rPr>
  </w:style>
  <w:style w:type="character" w:customStyle="1" w:styleId="Heading3Char">
    <w:name w:val="Heading 3 Char"/>
    <w:aliases w:val="Front Page heading Char"/>
    <w:link w:val="Heading3"/>
    <w:uiPriority w:val="9"/>
    <w:rsid w:val="00890DB7"/>
    <w:rPr>
      <w:rFonts w:ascii="Arial" w:hAnsi="Arial" w:cs="Arial"/>
      <w:b/>
      <w:color w:val="0072C6"/>
      <w:sz w:val="56"/>
      <w:szCs w:val="56"/>
    </w:rPr>
  </w:style>
  <w:style w:type="paragraph" w:styleId="ListParagraph">
    <w:name w:val="List Paragraph"/>
    <w:aliases w:val="Numbers"/>
    <w:basedOn w:val="Normal"/>
    <w:uiPriority w:val="34"/>
    <w:qFormat/>
    <w:rsid w:val="00890DB7"/>
    <w:rPr>
      <w:b/>
      <w:color w:val="0072C6" w:themeColor="text2"/>
    </w:rPr>
  </w:style>
  <w:style w:type="paragraph" w:customStyle="1" w:styleId="BlueBulletList">
    <w:name w:val="Blue Bullet List"/>
    <w:basedOn w:val="NoSpacing"/>
    <w:qFormat/>
    <w:rsid w:val="00890DB7"/>
    <w:pPr>
      <w:numPr>
        <w:numId w:val="1"/>
      </w:numPr>
    </w:pPr>
  </w:style>
  <w:style w:type="paragraph" w:styleId="BalloonText">
    <w:name w:val="Balloon Text"/>
    <w:basedOn w:val="Normal"/>
    <w:link w:val="BalloonTextChar"/>
    <w:uiPriority w:val="99"/>
    <w:semiHidden/>
    <w:unhideWhenUsed/>
    <w:rsid w:val="00A87E0A"/>
    <w:rPr>
      <w:rFonts w:ascii="Tahoma" w:hAnsi="Tahoma" w:cs="Tahoma"/>
      <w:sz w:val="16"/>
      <w:szCs w:val="16"/>
    </w:rPr>
  </w:style>
  <w:style w:type="character" w:customStyle="1" w:styleId="BalloonTextChar">
    <w:name w:val="Balloon Text Char"/>
    <w:basedOn w:val="DefaultParagraphFont"/>
    <w:link w:val="BalloonText"/>
    <w:uiPriority w:val="99"/>
    <w:semiHidden/>
    <w:rsid w:val="00A87E0A"/>
    <w:rPr>
      <w:rFonts w:ascii="Tahoma" w:hAnsi="Tahoma" w:cs="Tahoma"/>
      <w:color w:val="39545A"/>
      <w:sz w:val="16"/>
      <w:szCs w:val="16"/>
    </w:rPr>
  </w:style>
  <w:style w:type="paragraph" w:styleId="NormalWeb">
    <w:name w:val="Normal (Web)"/>
    <w:basedOn w:val="Normal"/>
    <w:uiPriority w:val="99"/>
    <w:semiHidden/>
    <w:unhideWhenUsed/>
    <w:rsid w:val="00A87E0A"/>
    <w:pPr>
      <w:spacing w:before="100" w:beforeAutospacing="1" w:after="100" w:afterAutospacing="1"/>
    </w:pPr>
    <w:rPr>
      <w:rFonts w:ascii="Times New Roman" w:eastAsiaTheme="minorEastAsia" w:hAnsi="Times New Roman" w:cs="Times New Roman"/>
      <w:szCs w:val="24"/>
    </w:rPr>
  </w:style>
  <w:style w:type="paragraph" w:customStyle="1" w:styleId="ReportLetter">
    <w:name w:val="Report Letter"/>
    <w:basedOn w:val="Normal"/>
    <w:qFormat/>
    <w:rsid w:val="00890DB7"/>
    <w:pPr>
      <w:jc w:val="center"/>
    </w:pPr>
    <w:rPr>
      <w:rFonts w:eastAsia="Times New Roman"/>
      <w:b/>
      <w:sz w:val="144"/>
      <w:szCs w:val="144"/>
    </w:rPr>
  </w:style>
  <w:style w:type="paragraph" w:customStyle="1" w:styleId="ReportHeader1">
    <w:name w:val="Report Header 1"/>
    <w:basedOn w:val="Normal"/>
    <w:qFormat/>
    <w:rsid w:val="00890DB7"/>
    <w:pPr>
      <w:keepLines/>
      <w:framePr w:hSpace="181" w:wrap="around" w:vAnchor="text" w:hAnchor="margin" w:xAlign="center" w:y="1796"/>
      <w:suppressOverlap/>
    </w:pPr>
    <w:rPr>
      <w:rFonts w:eastAsia="Times New Roman"/>
      <w:b/>
      <w:sz w:val="28"/>
      <w:szCs w:val="28"/>
    </w:rPr>
  </w:style>
  <w:style w:type="character" w:styleId="Hyperlink">
    <w:name w:val="Hyperlink"/>
    <w:basedOn w:val="DefaultParagraphFont"/>
    <w:uiPriority w:val="99"/>
    <w:unhideWhenUsed/>
    <w:rsid w:val="00C10D09"/>
    <w:rPr>
      <w:color w:val="0072C6" w:themeColor="hyperlink"/>
      <w:u w:val="single"/>
    </w:rPr>
  </w:style>
  <w:style w:type="paragraph" w:customStyle="1" w:styleId="Default">
    <w:name w:val="Default"/>
    <w:rsid w:val="00C10D09"/>
    <w:pPr>
      <w:autoSpaceDE w:val="0"/>
      <w:autoSpaceDN w:val="0"/>
      <w:adjustRightInd w:val="0"/>
    </w:pPr>
    <w:rPr>
      <w:rFonts w:ascii="Arial" w:hAnsi="Arial" w:cs="Arial"/>
      <w:color w:val="000000"/>
      <w:sz w:val="24"/>
      <w:szCs w:val="24"/>
    </w:rPr>
  </w:style>
  <w:style w:type="paragraph" w:customStyle="1" w:styleId="ReportBullet1">
    <w:name w:val="Report Bullet 1"/>
    <w:basedOn w:val="Normal"/>
    <w:qFormat/>
    <w:rsid w:val="00890DB7"/>
    <w:pPr>
      <w:numPr>
        <w:numId w:val="2"/>
      </w:numPr>
    </w:pPr>
    <w:rPr>
      <w:rFonts w:eastAsia="Times New Roman"/>
      <w:b/>
      <w:szCs w:val="24"/>
      <w:u w:val="single"/>
    </w:rPr>
  </w:style>
  <w:style w:type="character" w:styleId="FollowedHyperlink">
    <w:name w:val="FollowedHyperlink"/>
    <w:basedOn w:val="DefaultParagraphFont"/>
    <w:uiPriority w:val="99"/>
    <w:semiHidden/>
    <w:unhideWhenUsed/>
    <w:rsid w:val="00923087"/>
    <w:rPr>
      <w:color w:val="954F72" w:themeColor="followedHyperlink"/>
      <w:u w:val="single"/>
    </w:rPr>
  </w:style>
  <w:style w:type="paragraph" w:styleId="BodyTextIndent3">
    <w:name w:val="Body Text Indent 3"/>
    <w:basedOn w:val="Normal"/>
    <w:link w:val="BodyTextIndent3Char"/>
    <w:rsid w:val="007367CD"/>
    <w:pPr>
      <w:tabs>
        <w:tab w:val="left" w:pos="6435"/>
      </w:tabs>
      <w:ind w:left="360"/>
      <w:jc w:val="both"/>
    </w:pPr>
    <w:rPr>
      <w:rFonts w:eastAsia="Times New Roman"/>
      <w:sz w:val="28"/>
      <w:szCs w:val="24"/>
    </w:rPr>
  </w:style>
  <w:style w:type="character" w:customStyle="1" w:styleId="BodyTextIndent3Char">
    <w:name w:val="Body Text Indent 3 Char"/>
    <w:basedOn w:val="DefaultParagraphFont"/>
    <w:link w:val="BodyTextIndent3"/>
    <w:rsid w:val="007367CD"/>
    <w:rPr>
      <w:rFonts w:ascii="Arial" w:eastAsia="Times New Roman" w:hAnsi="Arial" w:cs="Arial"/>
      <w:sz w:val="28"/>
      <w:szCs w:val="24"/>
      <w:lang w:val="en-GB"/>
    </w:rPr>
  </w:style>
  <w:style w:type="table" w:styleId="LightShading-Accent4">
    <w:name w:val="Light Shading Accent 4"/>
    <w:basedOn w:val="TableNormal"/>
    <w:uiPriority w:val="60"/>
    <w:rsid w:val="00DC0D1F"/>
    <w:rPr>
      <w:color w:val="00296E" w:themeColor="accent4" w:themeShade="BF"/>
    </w:rPr>
    <w:tblPr>
      <w:tblStyleRowBandSize w:val="1"/>
      <w:tblStyleColBandSize w:val="1"/>
      <w:tblBorders>
        <w:top w:val="single" w:sz="8" w:space="0" w:color="003893" w:themeColor="accent4"/>
        <w:bottom w:val="single" w:sz="8" w:space="0" w:color="003893" w:themeColor="accent4"/>
      </w:tblBorders>
    </w:tblPr>
    <w:tblStylePr w:type="firstRow">
      <w:pPr>
        <w:spacing w:before="0" w:after="0" w:line="240" w:lineRule="auto"/>
      </w:pPr>
      <w:rPr>
        <w:b/>
        <w:bCs/>
      </w:rPr>
      <w:tblPr/>
      <w:tcPr>
        <w:tcBorders>
          <w:top w:val="single" w:sz="8" w:space="0" w:color="003893" w:themeColor="accent4"/>
          <w:left w:val="nil"/>
          <w:bottom w:val="single" w:sz="8" w:space="0" w:color="003893" w:themeColor="accent4"/>
          <w:right w:val="nil"/>
          <w:insideH w:val="nil"/>
          <w:insideV w:val="nil"/>
        </w:tcBorders>
      </w:tcPr>
    </w:tblStylePr>
    <w:tblStylePr w:type="lastRow">
      <w:pPr>
        <w:spacing w:before="0" w:after="0" w:line="240" w:lineRule="auto"/>
      </w:pPr>
      <w:rPr>
        <w:b/>
        <w:bCs/>
      </w:rPr>
      <w:tblPr/>
      <w:tcPr>
        <w:tcBorders>
          <w:top w:val="single" w:sz="8" w:space="0" w:color="003893" w:themeColor="accent4"/>
          <w:left w:val="nil"/>
          <w:bottom w:val="single" w:sz="8" w:space="0" w:color="00389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C7FF" w:themeFill="accent4" w:themeFillTint="3F"/>
      </w:tcPr>
    </w:tblStylePr>
    <w:tblStylePr w:type="band1Horz">
      <w:tblPr/>
      <w:tcPr>
        <w:tcBorders>
          <w:left w:val="nil"/>
          <w:right w:val="nil"/>
          <w:insideH w:val="nil"/>
          <w:insideV w:val="nil"/>
        </w:tcBorders>
        <w:shd w:val="clear" w:color="auto" w:fill="A5C7FF" w:themeFill="accent4" w:themeFillTint="3F"/>
      </w:tcPr>
    </w:tblStylePr>
  </w:style>
  <w:style w:type="character" w:styleId="Strong">
    <w:name w:val="Strong"/>
    <w:basedOn w:val="DefaultParagraphFont"/>
    <w:uiPriority w:val="22"/>
    <w:qFormat/>
    <w:rsid w:val="00130757"/>
    <w:rPr>
      <w:b/>
      <w:bCs/>
    </w:rPr>
  </w:style>
  <w:style w:type="paragraph" w:styleId="Revision">
    <w:name w:val="Revision"/>
    <w:hidden/>
    <w:uiPriority w:val="99"/>
    <w:semiHidden/>
    <w:rsid w:val="00F52848"/>
    <w:rPr>
      <w:rFonts w:ascii="Arial" w:hAnsi="Arial" w:cs="Arial"/>
      <w:sz w:val="24"/>
      <w:szCs w:val="22"/>
    </w:rPr>
  </w:style>
  <w:style w:type="character" w:styleId="CommentReference">
    <w:name w:val="annotation reference"/>
    <w:basedOn w:val="DefaultParagraphFont"/>
    <w:uiPriority w:val="99"/>
    <w:semiHidden/>
    <w:unhideWhenUsed/>
    <w:rsid w:val="009424AF"/>
    <w:rPr>
      <w:sz w:val="16"/>
      <w:szCs w:val="16"/>
    </w:rPr>
  </w:style>
  <w:style w:type="paragraph" w:styleId="CommentText">
    <w:name w:val="annotation text"/>
    <w:basedOn w:val="Normal"/>
    <w:link w:val="CommentTextChar"/>
    <w:uiPriority w:val="99"/>
    <w:unhideWhenUsed/>
    <w:rsid w:val="009424AF"/>
    <w:rPr>
      <w:sz w:val="20"/>
      <w:szCs w:val="20"/>
    </w:rPr>
  </w:style>
  <w:style w:type="character" w:customStyle="1" w:styleId="CommentTextChar">
    <w:name w:val="Comment Text Char"/>
    <w:basedOn w:val="DefaultParagraphFont"/>
    <w:link w:val="CommentText"/>
    <w:uiPriority w:val="99"/>
    <w:rsid w:val="009424AF"/>
    <w:rPr>
      <w:rFonts w:ascii="Arial" w:hAnsi="Arial" w:cs="Arial"/>
    </w:rPr>
  </w:style>
  <w:style w:type="paragraph" w:styleId="CommentSubject">
    <w:name w:val="annotation subject"/>
    <w:basedOn w:val="CommentText"/>
    <w:next w:val="CommentText"/>
    <w:link w:val="CommentSubjectChar"/>
    <w:uiPriority w:val="99"/>
    <w:semiHidden/>
    <w:unhideWhenUsed/>
    <w:rsid w:val="009424AF"/>
    <w:rPr>
      <w:b/>
      <w:bCs/>
    </w:rPr>
  </w:style>
  <w:style w:type="character" w:customStyle="1" w:styleId="CommentSubjectChar">
    <w:name w:val="Comment Subject Char"/>
    <w:basedOn w:val="CommentTextChar"/>
    <w:link w:val="CommentSubject"/>
    <w:uiPriority w:val="99"/>
    <w:semiHidden/>
    <w:rsid w:val="009424A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400301">
      <w:bodyDiv w:val="1"/>
      <w:marLeft w:val="0"/>
      <w:marRight w:val="0"/>
      <w:marTop w:val="0"/>
      <w:marBottom w:val="0"/>
      <w:divBdr>
        <w:top w:val="none" w:sz="0" w:space="0" w:color="auto"/>
        <w:left w:val="none" w:sz="0" w:space="0" w:color="auto"/>
        <w:bottom w:val="none" w:sz="0" w:space="0" w:color="auto"/>
        <w:right w:val="none" w:sz="0" w:space="0" w:color="auto"/>
      </w:divBdr>
    </w:div>
    <w:div w:id="1216042600">
      <w:bodyDiv w:val="1"/>
      <w:marLeft w:val="0"/>
      <w:marRight w:val="0"/>
      <w:marTop w:val="0"/>
      <w:marBottom w:val="0"/>
      <w:divBdr>
        <w:top w:val="none" w:sz="0" w:space="0" w:color="auto"/>
        <w:left w:val="none" w:sz="0" w:space="0" w:color="auto"/>
        <w:bottom w:val="none" w:sz="0" w:space="0" w:color="auto"/>
        <w:right w:val="none" w:sz="0" w:space="0" w:color="auto"/>
      </w:divBdr>
    </w:div>
    <w:div w:id="1525047339">
      <w:bodyDiv w:val="1"/>
      <w:marLeft w:val="0"/>
      <w:marRight w:val="0"/>
      <w:marTop w:val="0"/>
      <w:marBottom w:val="0"/>
      <w:divBdr>
        <w:top w:val="none" w:sz="0" w:space="0" w:color="auto"/>
        <w:left w:val="none" w:sz="0" w:space="0" w:color="auto"/>
        <w:bottom w:val="none" w:sz="0" w:space="0" w:color="auto"/>
        <w:right w:val="none" w:sz="0" w:space="0" w:color="auto"/>
      </w:divBdr>
    </w:div>
    <w:div w:id="1625116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 Pay Gap Comparison 2020-2025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Mean</c:v>
                </c:pt>
              </c:strCache>
            </c:strRef>
          </c:tx>
          <c:spPr>
            <a:ln w="28575" cap="rnd">
              <a:solidFill>
                <a:schemeClr val="bg2">
                  <a:lumMod val="10000"/>
                </a:schemeClr>
              </a:solidFill>
              <a:round/>
            </a:ln>
            <a:effectLst/>
          </c:spPr>
          <c:marker>
            <c:symbol val="none"/>
          </c:marker>
          <c:cat>
            <c:numRef>
              <c:f>Sheet1!$B$1:$G$1</c:f>
              <c:numCache>
                <c:formatCode>General</c:formatCode>
                <c:ptCount val="6"/>
                <c:pt idx="0">
                  <c:v>2020</c:v>
                </c:pt>
                <c:pt idx="1">
                  <c:v>2021</c:v>
                </c:pt>
                <c:pt idx="2">
                  <c:v>2022</c:v>
                </c:pt>
                <c:pt idx="3">
                  <c:v>2023</c:v>
                </c:pt>
                <c:pt idx="4">
                  <c:v>2024</c:v>
                </c:pt>
                <c:pt idx="5">
                  <c:v>2025</c:v>
                </c:pt>
              </c:numCache>
            </c:numRef>
          </c:cat>
          <c:val>
            <c:numRef>
              <c:f>Sheet1!$B$2:$G$2</c:f>
              <c:numCache>
                <c:formatCode>0.00%</c:formatCode>
                <c:ptCount val="6"/>
                <c:pt idx="0">
                  <c:v>0.315</c:v>
                </c:pt>
                <c:pt idx="1">
                  <c:v>0.30890000000000001</c:v>
                </c:pt>
                <c:pt idx="2">
                  <c:v>0.28799999999999998</c:v>
                </c:pt>
                <c:pt idx="3">
                  <c:v>0.26960000000000001</c:v>
                </c:pt>
                <c:pt idx="4">
                  <c:v>0.21940000000000001</c:v>
                </c:pt>
                <c:pt idx="5">
                  <c:v>0.2389</c:v>
                </c:pt>
              </c:numCache>
            </c:numRef>
          </c:val>
          <c:smooth val="0"/>
          <c:extLst>
            <c:ext xmlns:c16="http://schemas.microsoft.com/office/drawing/2014/chart" uri="{C3380CC4-5D6E-409C-BE32-E72D297353CC}">
              <c16:uniqueId val="{00000000-F1FF-480C-8643-95EA1E2C990D}"/>
            </c:ext>
          </c:extLst>
        </c:ser>
        <c:ser>
          <c:idx val="1"/>
          <c:order val="1"/>
          <c:tx>
            <c:strRef>
              <c:f>Sheet1!$A$3</c:f>
              <c:strCache>
                <c:ptCount val="1"/>
                <c:pt idx="0">
                  <c:v>Median</c:v>
                </c:pt>
              </c:strCache>
            </c:strRef>
          </c:tx>
          <c:spPr>
            <a:ln w="28575" cap="rnd">
              <a:solidFill>
                <a:schemeClr val="bg2">
                  <a:lumMod val="75000"/>
                </a:schemeClr>
              </a:solidFill>
              <a:round/>
            </a:ln>
            <a:effectLst/>
          </c:spPr>
          <c:marker>
            <c:symbol val="none"/>
          </c:marker>
          <c:cat>
            <c:numRef>
              <c:f>Sheet1!$B$1:$G$1</c:f>
              <c:numCache>
                <c:formatCode>General</c:formatCode>
                <c:ptCount val="6"/>
                <c:pt idx="0">
                  <c:v>2020</c:v>
                </c:pt>
                <c:pt idx="1">
                  <c:v>2021</c:v>
                </c:pt>
                <c:pt idx="2">
                  <c:v>2022</c:v>
                </c:pt>
                <c:pt idx="3">
                  <c:v>2023</c:v>
                </c:pt>
                <c:pt idx="4">
                  <c:v>2024</c:v>
                </c:pt>
                <c:pt idx="5">
                  <c:v>2025</c:v>
                </c:pt>
              </c:numCache>
            </c:numRef>
          </c:cat>
          <c:val>
            <c:numRef>
              <c:f>Sheet1!$B$3:$G$3</c:f>
              <c:numCache>
                <c:formatCode>0.00%</c:formatCode>
                <c:ptCount val="6"/>
                <c:pt idx="0">
                  <c:v>0.19359999999999999</c:v>
                </c:pt>
                <c:pt idx="1">
                  <c:v>0.216</c:v>
                </c:pt>
                <c:pt idx="2">
                  <c:v>0.16800000000000001</c:v>
                </c:pt>
                <c:pt idx="3">
                  <c:v>7.3999999999999996E-2</c:v>
                </c:pt>
                <c:pt idx="4">
                  <c:v>7.2800000000000004E-2</c:v>
                </c:pt>
                <c:pt idx="5">
                  <c:v>0.17849999999999999</c:v>
                </c:pt>
              </c:numCache>
            </c:numRef>
          </c:val>
          <c:smooth val="0"/>
          <c:extLst>
            <c:ext xmlns:c16="http://schemas.microsoft.com/office/drawing/2014/chart" uri="{C3380CC4-5D6E-409C-BE32-E72D297353CC}">
              <c16:uniqueId val="{00000001-F1FF-480C-8643-95EA1E2C990D}"/>
            </c:ext>
          </c:extLst>
        </c:ser>
        <c:dLbls>
          <c:showLegendKey val="0"/>
          <c:showVal val="0"/>
          <c:showCatName val="0"/>
          <c:showSerName val="0"/>
          <c:showPercent val="0"/>
          <c:showBubbleSize val="0"/>
        </c:dLbls>
        <c:smooth val="0"/>
        <c:axId val="999291408"/>
        <c:axId val="999289008"/>
      </c:lineChart>
      <c:catAx>
        <c:axId val="99929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9289008"/>
        <c:crosses val="autoZero"/>
        <c:auto val="1"/>
        <c:lblAlgn val="ctr"/>
        <c:lblOffset val="100"/>
        <c:noMultiLvlLbl val="0"/>
      </c:catAx>
      <c:valAx>
        <c:axId val="999289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9291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 Pay Gap Comparison 2020-2025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Mean</c:v>
                </c:pt>
              </c:strCache>
            </c:strRef>
          </c:tx>
          <c:spPr>
            <a:ln w="28575" cap="rnd">
              <a:solidFill>
                <a:schemeClr val="bg2">
                  <a:lumMod val="10000"/>
                </a:schemeClr>
              </a:solidFill>
              <a:round/>
            </a:ln>
            <a:effectLst/>
          </c:spPr>
          <c:marker>
            <c:symbol val="none"/>
          </c:marker>
          <c:cat>
            <c:numRef>
              <c:f>Sheet1!$B$1:$G$1</c:f>
              <c:numCache>
                <c:formatCode>General</c:formatCode>
                <c:ptCount val="6"/>
                <c:pt idx="0">
                  <c:v>2020</c:v>
                </c:pt>
                <c:pt idx="1">
                  <c:v>2021</c:v>
                </c:pt>
                <c:pt idx="2">
                  <c:v>2022</c:v>
                </c:pt>
                <c:pt idx="3">
                  <c:v>2023</c:v>
                </c:pt>
                <c:pt idx="4">
                  <c:v>2024</c:v>
                </c:pt>
                <c:pt idx="5">
                  <c:v>2025</c:v>
                </c:pt>
              </c:numCache>
            </c:numRef>
          </c:cat>
          <c:val>
            <c:numRef>
              <c:f>Sheet1!$B$2:$G$2</c:f>
              <c:numCache>
                <c:formatCode>0.00%</c:formatCode>
                <c:ptCount val="6"/>
                <c:pt idx="0">
                  <c:v>0.315</c:v>
                </c:pt>
                <c:pt idx="1">
                  <c:v>0.30890000000000001</c:v>
                </c:pt>
                <c:pt idx="2">
                  <c:v>0.28799999999999998</c:v>
                </c:pt>
                <c:pt idx="3">
                  <c:v>0.26960000000000001</c:v>
                </c:pt>
                <c:pt idx="4">
                  <c:v>0.21940000000000001</c:v>
                </c:pt>
                <c:pt idx="5">
                  <c:v>0.2389</c:v>
                </c:pt>
              </c:numCache>
            </c:numRef>
          </c:val>
          <c:smooth val="0"/>
          <c:extLst>
            <c:ext xmlns:c16="http://schemas.microsoft.com/office/drawing/2014/chart" uri="{C3380CC4-5D6E-409C-BE32-E72D297353CC}">
              <c16:uniqueId val="{00000000-0D80-4FCA-ABEC-AB6F9083EC5D}"/>
            </c:ext>
          </c:extLst>
        </c:ser>
        <c:ser>
          <c:idx val="1"/>
          <c:order val="1"/>
          <c:tx>
            <c:strRef>
              <c:f>Sheet1!$A$3</c:f>
              <c:strCache>
                <c:ptCount val="1"/>
                <c:pt idx="0">
                  <c:v>Median</c:v>
                </c:pt>
              </c:strCache>
            </c:strRef>
          </c:tx>
          <c:spPr>
            <a:ln w="28575" cap="rnd">
              <a:solidFill>
                <a:schemeClr val="bg2">
                  <a:lumMod val="75000"/>
                </a:schemeClr>
              </a:solidFill>
              <a:round/>
            </a:ln>
            <a:effectLst/>
          </c:spPr>
          <c:marker>
            <c:symbol val="none"/>
          </c:marker>
          <c:cat>
            <c:numRef>
              <c:f>Sheet1!$B$1:$G$1</c:f>
              <c:numCache>
                <c:formatCode>General</c:formatCode>
                <c:ptCount val="6"/>
                <c:pt idx="0">
                  <c:v>2020</c:v>
                </c:pt>
                <c:pt idx="1">
                  <c:v>2021</c:v>
                </c:pt>
                <c:pt idx="2">
                  <c:v>2022</c:v>
                </c:pt>
                <c:pt idx="3">
                  <c:v>2023</c:v>
                </c:pt>
                <c:pt idx="4">
                  <c:v>2024</c:v>
                </c:pt>
                <c:pt idx="5">
                  <c:v>2025</c:v>
                </c:pt>
              </c:numCache>
            </c:numRef>
          </c:cat>
          <c:val>
            <c:numRef>
              <c:f>Sheet1!$B$3:$G$3</c:f>
              <c:numCache>
                <c:formatCode>0.00%</c:formatCode>
                <c:ptCount val="6"/>
                <c:pt idx="0">
                  <c:v>0.19359999999999999</c:v>
                </c:pt>
                <c:pt idx="1">
                  <c:v>0.216</c:v>
                </c:pt>
                <c:pt idx="2">
                  <c:v>0.16800000000000001</c:v>
                </c:pt>
                <c:pt idx="3">
                  <c:v>7.3999999999999996E-2</c:v>
                </c:pt>
                <c:pt idx="4">
                  <c:v>7.2800000000000004E-2</c:v>
                </c:pt>
                <c:pt idx="5">
                  <c:v>0.17849999999999999</c:v>
                </c:pt>
              </c:numCache>
            </c:numRef>
          </c:val>
          <c:smooth val="0"/>
          <c:extLst>
            <c:ext xmlns:c16="http://schemas.microsoft.com/office/drawing/2014/chart" uri="{C3380CC4-5D6E-409C-BE32-E72D297353CC}">
              <c16:uniqueId val="{00000001-0D80-4FCA-ABEC-AB6F9083EC5D}"/>
            </c:ext>
          </c:extLst>
        </c:ser>
        <c:dLbls>
          <c:showLegendKey val="0"/>
          <c:showVal val="0"/>
          <c:showCatName val="0"/>
          <c:showSerName val="0"/>
          <c:showPercent val="0"/>
          <c:showBubbleSize val="0"/>
        </c:dLbls>
        <c:smooth val="0"/>
        <c:axId val="999291408"/>
        <c:axId val="999289008"/>
      </c:lineChart>
      <c:catAx>
        <c:axId val="99929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9289008"/>
        <c:crosses val="autoZero"/>
        <c:auto val="1"/>
        <c:lblAlgn val="ctr"/>
        <c:lblOffset val="100"/>
        <c:noMultiLvlLbl val="0"/>
      </c:catAx>
      <c:valAx>
        <c:axId val="999289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9291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4">
      <a:dk1>
        <a:srgbClr val="39545A"/>
      </a:dk1>
      <a:lt1>
        <a:srgbClr val="FFFFFF"/>
      </a:lt1>
      <a:dk2>
        <a:srgbClr val="0072C6"/>
      </a:dk2>
      <a:lt2>
        <a:srgbClr val="E7E6E6"/>
      </a:lt2>
      <a:accent1>
        <a:srgbClr val="5BBF21"/>
      </a:accent1>
      <a:accent2>
        <a:srgbClr val="0090D3"/>
      </a:accent2>
      <a:accent3>
        <a:srgbClr val="0091C9"/>
      </a:accent3>
      <a:accent4>
        <a:srgbClr val="003893"/>
      </a:accent4>
      <a:accent5>
        <a:srgbClr val="422B74"/>
      </a:accent5>
      <a:accent6>
        <a:srgbClr val="AD1D6C"/>
      </a:accent6>
      <a:hlink>
        <a:srgbClr val="0072C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2202-7CA0-487A-9BF7-9081FE4F7D7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Clement, Emma</dc:creator>
  <cp:lastModifiedBy>GOLDING, Virginia (YORK AND SCARBOROUGH TEACHING HOSPITALS NHS FOUNDATION TRUST)</cp:lastModifiedBy>
  <cp:revision>2</cp:revision>
  <dcterms:created xsi:type="dcterms:W3CDTF">2025-11-26T08:22:00Z</dcterms:created>
  <dcterms:modified xsi:type="dcterms:W3CDTF">2025-11-26T08:22:00Z</dcterms:modified>
</cp:coreProperties>
</file>