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4D" w:rsidRPr="001B3849" w:rsidRDefault="007B5E4D" w:rsidP="001B3849">
      <w:pPr>
        <w:spacing w:after="0"/>
        <w:rPr>
          <w:b/>
          <w:i/>
          <w:sz w:val="24"/>
          <w:szCs w:val="24"/>
        </w:rPr>
      </w:pPr>
      <w:bookmarkStart w:id="0" w:name="_GoBack"/>
      <w:bookmarkEnd w:id="0"/>
      <w:r w:rsidRPr="00943457">
        <w:rPr>
          <w:b/>
        </w:rPr>
        <w:t>Table 1 – Sampling Requirements for Commonly Requested Therapeutic Drugs:</w:t>
      </w:r>
      <w:r>
        <w:rPr>
          <w:b/>
        </w:rPr>
        <w:t xml:space="preserve">  </w:t>
      </w:r>
    </w:p>
    <w:tbl>
      <w:tblPr>
        <w:tblStyle w:val="LightList-Accent5"/>
        <w:tblW w:w="14423" w:type="dxa"/>
        <w:tblBorders>
          <w:insideH w:val="single" w:sz="8" w:space="0" w:color="4BACC6" w:themeColor="accent5"/>
          <w:insideV w:val="single" w:sz="8" w:space="0" w:color="4BACC6" w:themeColor="accent5"/>
        </w:tblBorders>
        <w:tblLook w:val="04A0" w:firstRow="1" w:lastRow="0" w:firstColumn="1" w:lastColumn="0" w:noHBand="0" w:noVBand="1"/>
      </w:tblPr>
      <w:tblGrid>
        <w:gridCol w:w="2235"/>
        <w:gridCol w:w="2835"/>
        <w:gridCol w:w="1275"/>
        <w:gridCol w:w="1418"/>
        <w:gridCol w:w="850"/>
        <w:gridCol w:w="1276"/>
        <w:gridCol w:w="1701"/>
        <w:gridCol w:w="2833"/>
      </w:tblGrid>
      <w:tr w:rsidR="00F31F93" w:rsidTr="00607997">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Pr="00030F49" w:rsidRDefault="00F31F93" w:rsidP="007B5E4D">
            <w:pPr>
              <w:jc w:val="center"/>
              <w:rPr>
                <w:rFonts w:cstheme="minorHAnsi"/>
                <w:sz w:val="20"/>
                <w:szCs w:val="20"/>
              </w:rPr>
            </w:pPr>
            <w:r w:rsidRPr="00030F49">
              <w:rPr>
                <w:rFonts w:cstheme="minorHAnsi"/>
                <w:sz w:val="20"/>
                <w:szCs w:val="20"/>
              </w:rPr>
              <w:t>Therapeutic Drug</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Pr="00030F49" w:rsidRDefault="00F31F93" w:rsidP="007B5E4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30F49">
              <w:rPr>
                <w:rFonts w:cstheme="minorHAnsi"/>
                <w:sz w:val="20"/>
                <w:szCs w:val="20"/>
              </w:rPr>
              <w:t>Timing of Sample Collection</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Pr="00030F49" w:rsidRDefault="00F31F93" w:rsidP="007B5E4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30F49">
              <w:rPr>
                <w:rFonts w:cstheme="minorHAnsi"/>
                <w:sz w:val="20"/>
                <w:szCs w:val="20"/>
              </w:rPr>
              <w:t>Tube Type</w:t>
            </w:r>
            <w:r w:rsidRPr="00030F49">
              <w:rPr>
                <w:rFonts w:cstheme="minorHAnsi"/>
                <w:sz w:val="20"/>
                <w:szCs w:val="20"/>
                <w:vertAlign w:val="superscript"/>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Pr="00030F49" w:rsidRDefault="00F31F93" w:rsidP="007B5E4D">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Pr>
                <w:rFonts w:cstheme="minorHAnsi"/>
                <w:sz w:val="20"/>
                <w:szCs w:val="20"/>
              </w:rPr>
              <w:t xml:space="preserve">Approximate </w:t>
            </w:r>
            <w:r w:rsidRPr="00030F49">
              <w:rPr>
                <w:rFonts w:cstheme="minorHAnsi"/>
                <w:sz w:val="20"/>
                <w:szCs w:val="20"/>
              </w:rPr>
              <w:t>Turnaround</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Pr="00030F49" w:rsidRDefault="00F31F93" w:rsidP="007B5E4D">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030F49">
              <w:rPr>
                <w:rFonts w:cstheme="minorHAnsi"/>
                <w:sz w:val="20"/>
                <w:szCs w:val="20"/>
              </w:rPr>
              <w:t>Half life</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Pr="00030F49" w:rsidRDefault="00F31F93" w:rsidP="007B5E4D">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Time to </w:t>
            </w:r>
            <w:r w:rsidRPr="00030F49">
              <w:rPr>
                <w:rFonts w:cstheme="minorHAnsi"/>
                <w:sz w:val="20"/>
                <w:szCs w:val="20"/>
              </w:rPr>
              <w:t>Steady State</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Pr="00030F49" w:rsidRDefault="00F31F93" w:rsidP="007B5E4D">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30F49">
              <w:rPr>
                <w:sz w:val="20"/>
                <w:szCs w:val="20"/>
              </w:rPr>
              <w:t>Target Range(s)</w:t>
            </w:r>
          </w:p>
        </w:tc>
        <w:tc>
          <w:tcPr>
            <w:tcW w:w="2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31F93" w:rsidRDefault="00F31F93" w:rsidP="00134A02">
            <w:pPr>
              <w:jc w:val="center"/>
              <w:cnfStyle w:val="100000000000" w:firstRow="1" w:lastRow="0" w:firstColumn="0" w:lastColumn="0" w:oddVBand="0" w:evenVBand="0" w:oddHBand="0" w:evenHBand="0" w:firstRowFirstColumn="0" w:firstRowLastColumn="0" w:lastRowFirstColumn="0" w:lastRowLastColumn="0"/>
            </w:pPr>
            <w:r>
              <w:t>Symptoms of Toxicity</w:t>
            </w:r>
          </w:p>
        </w:tc>
      </w:tr>
      <w:tr w:rsidR="00F31F93" w:rsidTr="00607997">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FFFFFF" w:themeColor="background1"/>
            </w:tcBorders>
            <w:vAlign w:val="center"/>
          </w:tcPr>
          <w:p w:rsidR="00F31F93" w:rsidRPr="00396445" w:rsidRDefault="00F31F93" w:rsidP="007B5E4D">
            <w:pPr>
              <w:jc w:val="center"/>
              <w:rPr>
                <w:rFonts w:cstheme="minorHAnsi"/>
                <w:sz w:val="20"/>
                <w:szCs w:val="20"/>
              </w:rPr>
            </w:pPr>
            <w:r w:rsidRPr="00396445">
              <w:rPr>
                <w:rFonts w:cstheme="minorHAnsi"/>
                <w:sz w:val="20"/>
                <w:szCs w:val="20"/>
              </w:rPr>
              <w:t xml:space="preserve">Lithium </w:t>
            </w:r>
          </w:p>
          <w:p w:rsidR="00F31F93" w:rsidRPr="00396445" w:rsidRDefault="00F31F93" w:rsidP="007B5E4D">
            <w:pPr>
              <w:jc w:val="center"/>
              <w:rPr>
                <w:rFonts w:cstheme="minorHAnsi"/>
                <w:sz w:val="20"/>
                <w:szCs w:val="20"/>
              </w:rPr>
            </w:pPr>
            <w:r w:rsidRPr="00396445">
              <w:rPr>
                <w:rFonts w:cstheme="minorHAnsi"/>
                <w:b w:val="0"/>
                <w:i/>
                <w:sz w:val="20"/>
                <w:szCs w:val="20"/>
              </w:rPr>
              <w:t>(Lithium citrate, Lithiu</w:t>
            </w:r>
            <w:r w:rsidR="00D434E3">
              <w:rPr>
                <w:rFonts w:cstheme="minorHAnsi"/>
                <w:b w:val="0"/>
                <w:i/>
                <w:sz w:val="20"/>
                <w:szCs w:val="20"/>
              </w:rPr>
              <w:t xml:space="preserve">m carbonate, Li-liquid, </w:t>
            </w:r>
            <w:proofErr w:type="spellStart"/>
            <w:r w:rsidR="00D434E3">
              <w:rPr>
                <w:rFonts w:cstheme="minorHAnsi"/>
                <w:b w:val="0"/>
                <w:i/>
                <w:sz w:val="20"/>
                <w:szCs w:val="20"/>
              </w:rPr>
              <w:t>Priadel</w:t>
            </w:r>
            <w:proofErr w:type="spellEnd"/>
            <w:r w:rsidR="00D434E3">
              <w:rPr>
                <w:rFonts w:cstheme="minorHAnsi"/>
                <w:b w:val="0"/>
                <w:i/>
                <w:sz w:val="20"/>
                <w:szCs w:val="20"/>
              </w:rPr>
              <w:t xml:space="preserve">, </w:t>
            </w:r>
            <w:proofErr w:type="spellStart"/>
            <w:r w:rsidRPr="00396445">
              <w:rPr>
                <w:rFonts w:cstheme="minorHAnsi"/>
                <w:b w:val="0"/>
                <w:i/>
                <w:sz w:val="20"/>
                <w:szCs w:val="20"/>
              </w:rPr>
              <w:t>Camcolit</w:t>
            </w:r>
            <w:proofErr w:type="spellEnd"/>
            <w:r w:rsidRPr="00396445">
              <w:rPr>
                <w:rFonts w:cstheme="minorHAnsi"/>
                <w:b w:val="0"/>
                <w:i/>
                <w:sz w:val="20"/>
                <w:szCs w:val="20"/>
              </w:rPr>
              <w:t xml:space="preserve">, </w:t>
            </w:r>
            <w:proofErr w:type="spellStart"/>
            <w:r w:rsidRPr="00396445">
              <w:rPr>
                <w:rFonts w:cstheme="minorHAnsi"/>
                <w:b w:val="0"/>
                <w:i/>
                <w:sz w:val="20"/>
                <w:szCs w:val="20"/>
              </w:rPr>
              <w:t>Liskonum</w:t>
            </w:r>
            <w:proofErr w:type="spellEnd"/>
            <w:r w:rsidRPr="00396445">
              <w:rPr>
                <w:rFonts w:cstheme="minorHAnsi"/>
                <w:b w:val="0"/>
                <w:i/>
                <w:sz w:val="20"/>
                <w:szCs w:val="20"/>
              </w:rPr>
              <w:t>)</w:t>
            </w:r>
          </w:p>
        </w:tc>
        <w:tc>
          <w:tcPr>
            <w:tcW w:w="2835" w:type="dxa"/>
            <w:tcBorders>
              <w:top w:val="single" w:sz="4" w:space="0" w:color="FFFFFF" w:themeColor="background1"/>
            </w:tcBorders>
            <w:vAlign w:val="center"/>
          </w:tcPr>
          <w:p w:rsidR="00F31F93" w:rsidRPr="00396445" w:rsidRDefault="00F31F93" w:rsidP="007B5E4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6445">
              <w:rPr>
                <w:rFonts w:cstheme="minorHAnsi"/>
                <w:b/>
                <w:sz w:val="20"/>
                <w:szCs w:val="20"/>
              </w:rPr>
              <w:t>At least 12 HOURS</w:t>
            </w:r>
            <w:r w:rsidRPr="00396445">
              <w:rPr>
                <w:rFonts w:cstheme="minorHAnsi"/>
                <w:sz w:val="20"/>
                <w:szCs w:val="20"/>
              </w:rPr>
              <w:t xml:space="preserve"> after last lithium dose taken</w:t>
            </w:r>
          </w:p>
        </w:tc>
        <w:tc>
          <w:tcPr>
            <w:tcW w:w="1275" w:type="dxa"/>
            <w:tcBorders>
              <w:top w:val="single" w:sz="4" w:space="0" w:color="FFFFFF" w:themeColor="background1"/>
            </w:tcBorders>
            <w:vAlign w:val="center"/>
          </w:tcPr>
          <w:p w:rsidR="00F31F93" w:rsidRPr="00396445" w:rsidRDefault="00F31F93" w:rsidP="007B5E4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Serum </w:t>
            </w:r>
            <w:r w:rsidRPr="00396445">
              <w:rPr>
                <w:rFonts w:cstheme="minorHAnsi"/>
                <w:sz w:val="20"/>
                <w:szCs w:val="20"/>
              </w:rPr>
              <w:t>(brown</w:t>
            </w:r>
            <w:r>
              <w:rPr>
                <w:rFonts w:cstheme="minorHAnsi"/>
                <w:sz w:val="20"/>
                <w:szCs w:val="20"/>
              </w:rPr>
              <w:t xml:space="preserve"> lid</w:t>
            </w:r>
            <w:r w:rsidRPr="00396445">
              <w:rPr>
                <w:rFonts w:cstheme="minorHAnsi"/>
                <w:sz w:val="20"/>
                <w:szCs w:val="20"/>
                <w:vertAlign w:val="superscript"/>
              </w:rPr>
              <w:t>†</w:t>
            </w:r>
            <w:r w:rsidRPr="00396445">
              <w:rPr>
                <w:rFonts w:cstheme="minorHAnsi"/>
                <w:sz w:val="20"/>
                <w:szCs w:val="20"/>
              </w:rPr>
              <w:t>)</w:t>
            </w:r>
          </w:p>
        </w:tc>
        <w:tc>
          <w:tcPr>
            <w:tcW w:w="1418" w:type="dxa"/>
            <w:tcBorders>
              <w:top w:val="single" w:sz="4" w:space="0" w:color="FFFFFF" w:themeColor="background1"/>
            </w:tcBorders>
            <w:vAlign w:val="center"/>
          </w:tcPr>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6445">
              <w:rPr>
                <w:rFonts w:asciiTheme="minorHAnsi" w:hAnsiTheme="minorHAnsi" w:cstheme="minorHAnsi"/>
                <w:sz w:val="20"/>
                <w:szCs w:val="20"/>
              </w:rPr>
              <w:t>1 working day</w:t>
            </w:r>
          </w:p>
        </w:tc>
        <w:tc>
          <w:tcPr>
            <w:tcW w:w="850" w:type="dxa"/>
            <w:tcBorders>
              <w:top w:val="single" w:sz="4" w:space="0" w:color="FFFFFF" w:themeColor="background1"/>
            </w:tcBorders>
            <w:vAlign w:val="center"/>
          </w:tcPr>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6445">
              <w:rPr>
                <w:rFonts w:asciiTheme="minorHAnsi" w:hAnsiTheme="minorHAnsi" w:cstheme="minorHAnsi"/>
                <w:sz w:val="20"/>
                <w:szCs w:val="20"/>
              </w:rPr>
              <w:t>18-36 hours</w:t>
            </w:r>
          </w:p>
        </w:tc>
        <w:tc>
          <w:tcPr>
            <w:tcW w:w="1276" w:type="dxa"/>
            <w:tcBorders>
              <w:top w:val="single" w:sz="4" w:space="0" w:color="FFFFFF" w:themeColor="background1"/>
            </w:tcBorders>
            <w:vAlign w:val="center"/>
          </w:tcPr>
          <w:p w:rsidR="00F31F93"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3-7</w:t>
            </w:r>
          </w:p>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days</w:t>
            </w:r>
          </w:p>
        </w:tc>
        <w:tc>
          <w:tcPr>
            <w:tcW w:w="1701" w:type="dxa"/>
            <w:tcBorders>
              <w:top w:val="single" w:sz="4" w:space="0" w:color="FFFFFF" w:themeColor="background1"/>
            </w:tcBorders>
            <w:vAlign w:val="center"/>
          </w:tcPr>
          <w:p w:rsidR="00F31F93" w:rsidRPr="00396445" w:rsidRDefault="00F31F93" w:rsidP="007B5E4D">
            <w:pPr>
              <w:jc w:val="center"/>
              <w:cnfStyle w:val="000000100000" w:firstRow="0" w:lastRow="0" w:firstColumn="0" w:lastColumn="0" w:oddVBand="0" w:evenVBand="0" w:oddHBand="1" w:evenHBand="0" w:firstRowFirstColumn="0" w:firstRowLastColumn="0" w:lastRowFirstColumn="0" w:lastRowLastColumn="0"/>
              <w:rPr>
                <w:sz w:val="20"/>
                <w:szCs w:val="20"/>
              </w:rPr>
            </w:pPr>
            <w:r w:rsidRPr="00396445">
              <w:rPr>
                <w:sz w:val="20"/>
                <w:szCs w:val="20"/>
                <w:lang w:val="en-US"/>
              </w:rPr>
              <w:t>0.4 – 1.0mmol/L</w:t>
            </w:r>
          </w:p>
        </w:tc>
        <w:tc>
          <w:tcPr>
            <w:tcW w:w="2833" w:type="dxa"/>
            <w:tcBorders>
              <w:top w:val="single" w:sz="4" w:space="0" w:color="FFFFFF" w:themeColor="background1"/>
            </w:tcBorders>
            <w:vAlign w:val="center"/>
          </w:tcPr>
          <w:p w:rsidR="00F31F93" w:rsidRDefault="00F31F93" w:rsidP="00134A02">
            <w:pPr>
              <w:pStyle w:val="Default"/>
              <w:jc w:val="center"/>
              <w:cnfStyle w:val="000000100000" w:firstRow="0" w:lastRow="0" w:firstColumn="0" w:lastColumn="0" w:oddVBand="0" w:evenVBand="0" w:oddHBand="1" w:evenHBand="0" w:firstRowFirstColumn="0" w:firstRowLastColumn="0" w:lastRowFirstColumn="0" w:lastRowLastColumn="0"/>
            </w:pPr>
            <w:r>
              <w:rPr>
                <w:sz w:val="22"/>
                <w:szCs w:val="22"/>
              </w:rPr>
              <w:t>Confusion, tremor, ataxia, muscle weakness, slurred speech, hypothyroidism and renal dysfunction</w:t>
            </w:r>
          </w:p>
        </w:tc>
      </w:tr>
      <w:tr w:rsidR="00F31F93" w:rsidTr="00607997">
        <w:trPr>
          <w:trHeight w:val="706"/>
        </w:trPr>
        <w:tc>
          <w:tcPr>
            <w:cnfStyle w:val="001000000000" w:firstRow="0" w:lastRow="0" w:firstColumn="1" w:lastColumn="0" w:oddVBand="0" w:evenVBand="0" w:oddHBand="0" w:evenHBand="0" w:firstRowFirstColumn="0" w:firstRowLastColumn="0" w:lastRowFirstColumn="0" w:lastRowLastColumn="0"/>
            <w:tcW w:w="2235" w:type="dxa"/>
            <w:vAlign w:val="center"/>
          </w:tcPr>
          <w:p w:rsidR="00F31F93" w:rsidRPr="00396445" w:rsidRDefault="00F31F93" w:rsidP="007B5E4D">
            <w:pPr>
              <w:jc w:val="center"/>
              <w:rPr>
                <w:rFonts w:cstheme="minorHAnsi"/>
                <w:sz w:val="20"/>
                <w:szCs w:val="20"/>
              </w:rPr>
            </w:pPr>
            <w:r w:rsidRPr="00396445">
              <w:rPr>
                <w:rFonts w:cstheme="minorHAnsi"/>
                <w:sz w:val="20"/>
                <w:szCs w:val="20"/>
              </w:rPr>
              <w:t xml:space="preserve">Digoxin </w:t>
            </w:r>
          </w:p>
          <w:p w:rsidR="00F31F93" w:rsidRPr="00396445" w:rsidRDefault="00F31F93" w:rsidP="007B5E4D">
            <w:pPr>
              <w:jc w:val="center"/>
              <w:rPr>
                <w:rFonts w:cstheme="minorHAnsi"/>
                <w:sz w:val="20"/>
                <w:szCs w:val="20"/>
              </w:rPr>
            </w:pPr>
            <w:r w:rsidRPr="00396445">
              <w:rPr>
                <w:rFonts w:cstheme="minorHAnsi"/>
                <w:b w:val="0"/>
                <w:i/>
                <w:sz w:val="20"/>
                <w:szCs w:val="20"/>
              </w:rPr>
              <w:t>(</w:t>
            </w:r>
            <w:proofErr w:type="spellStart"/>
            <w:r w:rsidRPr="00396445">
              <w:rPr>
                <w:rFonts w:cstheme="minorHAnsi"/>
                <w:b w:val="0"/>
                <w:i/>
                <w:sz w:val="20"/>
                <w:szCs w:val="20"/>
              </w:rPr>
              <w:t>Lanoxin</w:t>
            </w:r>
            <w:proofErr w:type="spellEnd"/>
            <w:r w:rsidRPr="00396445">
              <w:rPr>
                <w:rFonts w:cstheme="minorHAnsi"/>
                <w:b w:val="0"/>
                <w:i/>
                <w:sz w:val="20"/>
                <w:szCs w:val="20"/>
              </w:rPr>
              <w:t>)</w:t>
            </w:r>
          </w:p>
        </w:tc>
        <w:tc>
          <w:tcPr>
            <w:tcW w:w="2835" w:type="dxa"/>
            <w:vAlign w:val="center"/>
          </w:tcPr>
          <w:p w:rsidR="00E00151"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b/>
                <w:sz w:val="20"/>
                <w:szCs w:val="20"/>
              </w:rPr>
              <w:t>At least 6 HOURS</w:t>
            </w:r>
            <w:r w:rsidRPr="00396445">
              <w:rPr>
                <w:rFonts w:cstheme="minorHAnsi"/>
                <w:sz w:val="20"/>
                <w:szCs w:val="20"/>
              </w:rPr>
              <w:t xml:space="preserve"> after last digoxin dose taken. </w:t>
            </w:r>
          </w:p>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sz w:val="20"/>
                <w:szCs w:val="20"/>
              </w:rPr>
              <w:t>Please provide details of any other medications, part</w:t>
            </w:r>
            <w:r w:rsidR="0033350C">
              <w:rPr>
                <w:rFonts w:cstheme="minorHAnsi"/>
                <w:sz w:val="20"/>
                <w:szCs w:val="20"/>
              </w:rPr>
              <w:t>icularly STEROIDS and</w:t>
            </w:r>
            <w:r w:rsidRPr="00396445">
              <w:rPr>
                <w:rFonts w:cstheme="minorHAnsi"/>
                <w:sz w:val="20"/>
                <w:szCs w:val="20"/>
              </w:rPr>
              <w:t xml:space="preserve"> DIGOXIN</w:t>
            </w:r>
            <w:r w:rsidR="0033350C">
              <w:rPr>
                <w:rFonts w:cstheme="minorHAnsi"/>
                <w:sz w:val="20"/>
                <w:szCs w:val="20"/>
              </w:rPr>
              <w:t xml:space="preserve"> ANTIDOTES (e.g. </w:t>
            </w:r>
            <w:proofErr w:type="spellStart"/>
            <w:r w:rsidR="0033350C">
              <w:rPr>
                <w:rFonts w:cstheme="minorHAnsi"/>
                <w:sz w:val="20"/>
                <w:szCs w:val="20"/>
              </w:rPr>
              <w:t>DigiFab</w:t>
            </w:r>
            <w:proofErr w:type="spellEnd"/>
            <w:r w:rsidR="0033350C">
              <w:rPr>
                <w:rFonts w:cstheme="minorHAnsi"/>
                <w:sz w:val="20"/>
                <w:szCs w:val="20"/>
              </w:rPr>
              <w:t>®)</w:t>
            </w:r>
            <w:r w:rsidRPr="00396445">
              <w:rPr>
                <w:rFonts w:cstheme="minorHAnsi"/>
                <w:sz w:val="20"/>
                <w:szCs w:val="20"/>
              </w:rPr>
              <w:t xml:space="preserve"> </w:t>
            </w:r>
          </w:p>
        </w:tc>
        <w:tc>
          <w:tcPr>
            <w:tcW w:w="1275" w:type="dxa"/>
            <w:vAlign w:val="center"/>
          </w:tcPr>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6445">
              <w:rPr>
                <w:rFonts w:asciiTheme="minorHAnsi" w:hAnsiTheme="minorHAnsi" w:cstheme="minorHAnsi"/>
                <w:sz w:val="20"/>
                <w:szCs w:val="20"/>
              </w:rPr>
              <w:t>Serum (brown</w:t>
            </w:r>
            <w:r>
              <w:rPr>
                <w:rFonts w:asciiTheme="minorHAnsi" w:hAnsiTheme="minorHAnsi" w:cstheme="minorHAnsi"/>
                <w:sz w:val="20"/>
                <w:szCs w:val="20"/>
              </w:rPr>
              <w:t xml:space="preserve"> lid</w:t>
            </w:r>
            <w:r w:rsidRPr="00396445">
              <w:rPr>
                <w:rFonts w:cstheme="minorHAnsi"/>
                <w:sz w:val="20"/>
                <w:szCs w:val="20"/>
                <w:vertAlign w:val="superscript"/>
              </w:rPr>
              <w:t>†</w:t>
            </w:r>
            <w:r w:rsidRPr="00396445">
              <w:rPr>
                <w:rFonts w:asciiTheme="minorHAnsi" w:hAnsiTheme="minorHAnsi" w:cstheme="minorHAnsi"/>
                <w:sz w:val="20"/>
                <w:szCs w:val="20"/>
              </w:rPr>
              <w:t>)</w:t>
            </w:r>
          </w:p>
        </w:tc>
        <w:tc>
          <w:tcPr>
            <w:tcW w:w="1418" w:type="dxa"/>
            <w:vAlign w:val="center"/>
          </w:tcPr>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6445">
              <w:rPr>
                <w:rFonts w:asciiTheme="minorHAnsi" w:hAnsiTheme="minorHAnsi" w:cstheme="minorHAnsi"/>
                <w:sz w:val="20"/>
                <w:szCs w:val="20"/>
              </w:rPr>
              <w:t>1 working day</w:t>
            </w:r>
          </w:p>
        </w:tc>
        <w:tc>
          <w:tcPr>
            <w:tcW w:w="850" w:type="dxa"/>
            <w:vAlign w:val="center"/>
          </w:tcPr>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36-48 hours</w:t>
            </w:r>
          </w:p>
        </w:tc>
        <w:tc>
          <w:tcPr>
            <w:tcW w:w="1276" w:type="dxa"/>
            <w:vAlign w:val="center"/>
          </w:tcPr>
          <w:p w:rsidR="00F31F93"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5-7</w:t>
            </w:r>
          </w:p>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days</w:t>
            </w:r>
          </w:p>
        </w:tc>
        <w:tc>
          <w:tcPr>
            <w:tcW w:w="1701" w:type="dxa"/>
            <w:vAlign w:val="center"/>
          </w:tcPr>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396445">
              <w:rPr>
                <w:sz w:val="20"/>
                <w:szCs w:val="20"/>
              </w:rPr>
              <w:t xml:space="preserve"> 0.5-1.0μg/L </w:t>
            </w:r>
          </w:p>
        </w:tc>
        <w:tc>
          <w:tcPr>
            <w:tcW w:w="2833" w:type="dxa"/>
            <w:vAlign w:val="center"/>
          </w:tcPr>
          <w:p w:rsidR="00F31F93" w:rsidRDefault="00F31F93" w:rsidP="00134A02">
            <w:pPr>
              <w:pStyle w:val="Default"/>
              <w:jc w:val="center"/>
              <w:cnfStyle w:val="000000000000" w:firstRow="0" w:lastRow="0" w:firstColumn="0" w:lastColumn="0" w:oddVBand="0" w:evenVBand="0" w:oddHBand="0" w:evenHBand="0" w:firstRowFirstColumn="0" w:firstRowLastColumn="0" w:lastRowFirstColumn="0" w:lastRowLastColumn="0"/>
            </w:pPr>
            <w:r>
              <w:rPr>
                <w:sz w:val="22"/>
                <w:szCs w:val="22"/>
              </w:rPr>
              <w:t>Headaches, fatigue, insomnia, cardiac arrhythmia, bradycardia, visual disturbances, vomiting, diarrhoea.</w:t>
            </w:r>
          </w:p>
        </w:tc>
      </w:tr>
      <w:tr w:rsidR="00F31F93" w:rsidTr="00607997">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235" w:type="dxa"/>
            <w:vAlign w:val="center"/>
          </w:tcPr>
          <w:p w:rsidR="00F31F93" w:rsidRPr="00396445" w:rsidRDefault="00F31F93" w:rsidP="007B5E4D">
            <w:pPr>
              <w:jc w:val="center"/>
              <w:rPr>
                <w:rFonts w:cstheme="minorHAnsi"/>
                <w:sz w:val="20"/>
                <w:szCs w:val="20"/>
              </w:rPr>
            </w:pPr>
            <w:r w:rsidRPr="00396445">
              <w:rPr>
                <w:rFonts w:cstheme="minorHAnsi"/>
                <w:sz w:val="20"/>
                <w:szCs w:val="20"/>
              </w:rPr>
              <w:t xml:space="preserve">Theophylline </w:t>
            </w:r>
          </w:p>
          <w:p w:rsidR="00F31F93" w:rsidRPr="00396445" w:rsidRDefault="00F31F93" w:rsidP="007B5E4D">
            <w:pPr>
              <w:jc w:val="center"/>
              <w:rPr>
                <w:rFonts w:cstheme="minorHAnsi"/>
                <w:sz w:val="20"/>
                <w:szCs w:val="20"/>
              </w:rPr>
            </w:pPr>
            <w:r w:rsidRPr="00396445">
              <w:rPr>
                <w:rFonts w:cstheme="minorHAnsi"/>
                <w:b w:val="0"/>
                <w:i/>
                <w:sz w:val="20"/>
                <w:szCs w:val="20"/>
              </w:rPr>
              <w:t xml:space="preserve">(Aminophylline, </w:t>
            </w:r>
            <w:proofErr w:type="spellStart"/>
            <w:r w:rsidRPr="00396445">
              <w:rPr>
                <w:rFonts w:cstheme="minorHAnsi"/>
                <w:b w:val="0"/>
                <w:i/>
                <w:sz w:val="20"/>
                <w:szCs w:val="20"/>
              </w:rPr>
              <w:t>Phyllocontin</w:t>
            </w:r>
            <w:proofErr w:type="spellEnd"/>
            <w:r w:rsidRPr="00396445">
              <w:rPr>
                <w:rFonts w:cstheme="minorHAnsi"/>
                <w:b w:val="0"/>
                <w:i/>
                <w:sz w:val="20"/>
                <w:szCs w:val="20"/>
              </w:rPr>
              <w:t>)</w:t>
            </w:r>
          </w:p>
        </w:tc>
        <w:tc>
          <w:tcPr>
            <w:tcW w:w="2835" w:type="dxa"/>
            <w:vAlign w:val="center"/>
          </w:tcPr>
          <w:p w:rsidR="00F31F93" w:rsidRPr="00396445" w:rsidRDefault="00607997" w:rsidP="0060799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07997">
              <w:rPr>
                <w:rFonts w:cstheme="minorHAnsi"/>
                <w:b/>
                <w:sz w:val="20"/>
                <w:szCs w:val="20"/>
              </w:rPr>
              <w:t xml:space="preserve">4-6 hours </w:t>
            </w:r>
            <w:r>
              <w:rPr>
                <w:rFonts w:cstheme="minorHAnsi"/>
                <w:sz w:val="20"/>
                <w:szCs w:val="20"/>
              </w:rPr>
              <w:t>after last theophylline dose taken</w:t>
            </w:r>
            <w:r w:rsidRPr="00396445">
              <w:rPr>
                <w:rFonts w:cstheme="minorHAnsi"/>
                <w:sz w:val="20"/>
                <w:szCs w:val="20"/>
              </w:rPr>
              <w:t xml:space="preserve"> </w:t>
            </w:r>
            <w:r>
              <w:rPr>
                <w:rFonts w:cstheme="minorHAnsi"/>
                <w:sz w:val="20"/>
                <w:szCs w:val="20"/>
              </w:rPr>
              <w:t xml:space="preserve">for patients on slow release oral </w:t>
            </w:r>
            <w:r w:rsidR="00BE12A1">
              <w:rPr>
                <w:rFonts w:cstheme="minorHAnsi"/>
                <w:sz w:val="20"/>
                <w:szCs w:val="20"/>
              </w:rPr>
              <w:t>preparations</w:t>
            </w:r>
            <w:r w:rsidR="002B2CEC">
              <w:rPr>
                <w:rFonts w:cstheme="minorHAnsi"/>
                <w:sz w:val="20"/>
                <w:szCs w:val="20"/>
              </w:rPr>
              <w:t>.</w:t>
            </w:r>
          </w:p>
        </w:tc>
        <w:tc>
          <w:tcPr>
            <w:tcW w:w="1275" w:type="dxa"/>
            <w:vAlign w:val="center"/>
          </w:tcPr>
          <w:p w:rsidR="00F31F93" w:rsidRPr="00396445" w:rsidRDefault="00F31F93" w:rsidP="007B5E4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6445">
              <w:rPr>
                <w:rFonts w:cstheme="minorHAnsi"/>
                <w:sz w:val="20"/>
                <w:szCs w:val="20"/>
              </w:rPr>
              <w:t>Serum (brown</w:t>
            </w:r>
            <w:r>
              <w:rPr>
                <w:rFonts w:cstheme="minorHAnsi"/>
                <w:sz w:val="20"/>
                <w:szCs w:val="20"/>
              </w:rPr>
              <w:t xml:space="preserve"> lid</w:t>
            </w:r>
            <w:r w:rsidRPr="00396445">
              <w:rPr>
                <w:rFonts w:cstheme="minorHAnsi"/>
                <w:sz w:val="20"/>
                <w:szCs w:val="20"/>
                <w:vertAlign w:val="superscript"/>
              </w:rPr>
              <w:t>†</w:t>
            </w:r>
            <w:r w:rsidRPr="00396445">
              <w:rPr>
                <w:rFonts w:cstheme="minorHAnsi"/>
                <w:sz w:val="20"/>
                <w:szCs w:val="20"/>
              </w:rPr>
              <w:t>)</w:t>
            </w:r>
          </w:p>
        </w:tc>
        <w:tc>
          <w:tcPr>
            <w:tcW w:w="1418" w:type="dxa"/>
            <w:vAlign w:val="center"/>
          </w:tcPr>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6445">
              <w:rPr>
                <w:rFonts w:asciiTheme="minorHAnsi" w:hAnsiTheme="minorHAnsi" w:cstheme="minorHAnsi"/>
                <w:sz w:val="20"/>
                <w:szCs w:val="20"/>
              </w:rPr>
              <w:t>1 working day</w:t>
            </w:r>
          </w:p>
        </w:tc>
        <w:tc>
          <w:tcPr>
            <w:tcW w:w="850" w:type="dxa"/>
            <w:vAlign w:val="center"/>
          </w:tcPr>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3-13 hours</w:t>
            </w:r>
          </w:p>
        </w:tc>
        <w:tc>
          <w:tcPr>
            <w:tcW w:w="1276" w:type="dxa"/>
            <w:vAlign w:val="center"/>
          </w:tcPr>
          <w:p w:rsidR="00F31F93"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2-3</w:t>
            </w:r>
          </w:p>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days</w:t>
            </w:r>
          </w:p>
        </w:tc>
        <w:tc>
          <w:tcPr>
            <w:tcW w:w="1701" w:type="dxa"/>
            <w:vAlign w:val="center"/>
          </w:tcPr>
          <w:p w:rsidR="00F31F93" w:rsidRDefault="00F31F93" w:rsidP="007B5E4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396445">
              <w:rPr>
                <w:rFonts w:cs="Arial"/>
                <w:sz w:val="20"/>
                <w:szCs w:val="20"/>
              </w:rPr>
              <w:t>10 – 20 mg/L</w:t>
            </w:r>
          </w:p>
          <w:p w:rsidR="00F03F42" w:rsidRPr="00396445" w:rsidRDefault="00F03F42" w:rsidP="007B5E4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cs="Arial"/>
                <w:sz w:val="20"/>
                <w:szCs w:val="20"/>
              </w:rPr>
              <w:t>(Adults only)</w:t>
            </w:r>
            <w:r w:rsidR="00607997">
              <w:rPr>
                <w:rFonts w:cs="Arial"/>
                <w:sz w:val="20"/>
                <w:szCs w:val="20"/>
              </w:rPr>
              <w:t xml:space="preserve"> Levels as low as 5mg/L may be effective in some patients. </w:t>
            </w:r>
          </w:p>
        </w:tc>
        <w:tc>
          <w:tcPr>
            <w:tcW w:w="2833" w:type="dxa"/>
            <w:vAlign w:val="center"/>
          </w:tcPr>
          <w:p w:rsidR="00F31F93" w:rsidRDefault="00F31F93" w:rsidP="00134A02">
            <w:pPr>
              <w:pStyle w:val="Default"/>
              <w:jc w:val="center"/>
              <w:cnfStyle w:val="000000100000" w:firstRow="0" w:lastRow="0" w:firstColumn="0" w:lastColumn="0" w:oddVBand="0" w:evenVBand="0" w:oddHBand="1" w:evenHBand="0" w:firstRowFirstColumn="0" w:firstRowLastColumn="0" w:lastRowFirstColumn="0" w:lastRowLastColumn="0"/>
            </w:pPr>
            <w:r>
              <w:rPr>
                <w:sz w:val="22"/>
                <w:szCs w:val="22"/>
              </w:rPr>
              <w:t>Headaches, nausea, palpitations, tremor, seizures, cardiac arrhythmia</w:t>
            </w:r>
          </w:p>
        </w:tc>
      </w:tr>
      <w:tr w:rsidR="00F31F93" w:rsidTr="00607997">
        <w:trPr>
          <w:trHeight w:val="706"/>
        </w:trPr>
        <w:tc>
          <w:tcPr>
            <w:cnfStyle w:val="001000000000" w:firstRow="0" w:lastRow="0" w:firstColumn="1" w:lastColumn="0" w:oddVBand="0" w:evenVBand="0" w:oddHBand="0" w:evenHBand="0" w:firstRowFirstColumn="0" w:firstRowLastColumn="0" w:lastRowFirstColumn="0" w:lastRowLastColumn="0"/>
            <w:tcW w:w="2235" w:type="dxa"/>
            <w:vAlign w:val="center"/>
          </w:tcPr>
          <w:p w:rsidR="00F31F93" w:rsidRPr="00396445" w:rsidRDefault="00F31F93" w:rsidP="007B5E4D">
            <w:pPr>
              <w:jc w:val="center"/>
              <w:rPr>
                <w:rFonts w:cstheme="minorHAnsi"/>
                <w:sz w:val="20"/>
                <w:szCs w:val="20"/>
              </w:rPr>
            </w:pPr>
            <w:r w:rsidRPr="00396445">
              <w:rPr>
                <w:rFonts w:cstheme="minorHAnsi"/>
                <w:sz w:val="20"/>
                <w:szCs w:val="20"/>
              </w:rPr>
              <w:t xml:space="preserve">Carbamazepine </w:t>
            </w:r>
          </w:p>
          <w:p w:rsidR="00F31F93" w:rsidRPr="00396445" w:rsidRDefault="00F31F93" w:rsidP="007B5E4D">
            <w:pPr>
              <w:jc w:val="center"/>
              <w:rPr>
                <w:rFonts w:cstheme="minorHAnsi"/>
                <w:sz w:val="20"/>
                <w:szCs w:val="20"/>
              </w:rPr>
            </w:pPr>
            <w:r w:rsidRPr="00396445">
              <w:rPr>
                <w:rFonts w:cstheme="minorHAnsi"/>
                <w:b w:val="0"/>
                <w:i/>
                <w:sz w:val="20"/>
                <w:szCs w:val="20"/>
              </w:rPr>
              <w:t>(</w:t>
            </w:r>
            <w:proofErr w:type="spellStart"/>
            <w:r w:rsidRPr="00396445">
              <w:rPr>
                <w:rFonts w:cstheme="minorHAnsi"/>
                <w:b w:val="0"/>
                <w:i/>
                <w:sz w:val="20"/>
                <w:szCs w:val="20"/>
              </w:rPr>
              <w:t>Tegretol</w:t>
            </w:r>
            <w:proofErr w:type="spellEnd"/>
            <w:r w:rsidRPr="00396445">
              <w:rPr>
                <w:rFonts w:cstheme="minorHAnsi"/>
                <w:b w:val="0"/>
                <w:i/>
                <w:sz w:val="20"/>
                <w:szCs w:val="20"/>
              </w:rPr>
              <w:t xml:space="preserve">, </w:t>
            </w:r>
            <w:proofErr w:type="spellStart"/>
            <w:r w:rsidRPr="00396445">
              <w:rPr>
                <w:rFonts w:cstheme="minorHAnsi"/>
                <w:b w:val="0"/>
                <w:i/>
                <w:sz w:val="20"/>
                <w:szCs w:val="20"/>
              </w:rPr>
              <w:t>Carbagen</w:t>
            </w:r>
            <w:proofErr w:type="spellEnd"/>
            <w:r w:rsidRPr="00396445">
              <w:rPr>
                <w:rFonts w:cstheme="minorHAnsi"/>
                <w:b w:val="0"/>
                <w:i/>
                <w:sz w:val="20"/>
                <w:szCs w:val="20"/>
              </w:rPr>
              <w:t>)</w:t>
            </w:r>
          </w:p>
        </w:tc>
        <w:tc>
          <w:tcPr>
            <w:tcW w:w="2835" w:type="dxa"/>
            <w:vAlign w:val="center"/>
          </w:tcPr>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sz w:val="20"/>
                <w:szCs w:val="20"/>
              </w:rPr>
              <w:t xml:space="preserve">Directly before next dose </w:t>
            </w:r>
            <w:r w:rsidR="00E00151">
              <w:rPr>
                <w:rFonts w:cstheme="minorHAnsi"/>
                <w:sz w:val="20"/>
                <w:szCs w:val="20"/>
              </w:rPr>
              <w:t xml:space="preserve">      </w:t>
            </w:r>
            <w:r w:rsidRPr="00396445">
              <w:rPr>
                <w:rFonts w:cstheme="minorHAnsi"/>
                <w:sz w:val="20"/>
                <w:szCs w:val="20"/>
              </w:rPr>
              <w:t>(i.e. trough level)</w:t>
            </w:r>
          </w:p>
        </w:tc>
        <w:tc>
          <w:tcPr>
            <w:tcW w:w="1275" w:type="dxa"/>
            <w:vAlign w:val="center"/>
          </w:tcPr>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sz w:val="20"/>
                <w:szCs w:val="20"/>
              </w:rPr>
              <w:t>Serum (brown</w:t>
            </w:r>
            <w:r>
              <w:rPr>
                <w:rFonts w:cstheme="minorHAnsi"/>
                <w:sz w:val="20"/>
                <w:szCs w:val="20"/>
              </w:rPr>
              <w:t xml:space="preserve"> lid</w:t>
            </w:r>
            <w:r w:rsidRPr="00396445">
              <w:rPr>
                <w:rFonts w:cstheme="minorHAnsi"/>
                <w:sz w:val="20"/>
                <w:szCs w:val="20"/>
                <w:vertAlign w:val="superscript"/>
              </w:rPr>
              <w:t>†</w:t>
            </w:r>
            <w:r w:rsidRPr="00396445">
              <w:rPr>
                <w:rFonts w:cstheme="minorHAnsi"/>
                <w:sz w:val="20"/>
                <w:szCs w:val="20"/>
              </w:rPr>
              <w:t>)</w:t>
            </w:r>
          </w:p>
        </w:tc>
        <w:tc>
          <w:tcPr>
            <w:tcW w:w="1418" w:type="dxa"/>
            <w:vAlign w:val="center"/>
          </w:tcPr>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96445">
              <w:rPr>
                <w:rFonts w:asciiTheme="minorHAnsi" w:hAnsiTheme="minorHAnsi" w:cstheme="minorHAnsi"/>
                <w:sz w:val="20"/>
                <w:szCs w:val="20"/>
              </w:rPr>
              <w:t>1 working day</w:t>
            </w:r>
          </w:p>
        </w:tc>
        <w:tc>
          <w:tcPr>
            <w:tcW w:w="850" w:type="dxa"/>
            <w:vAlign w:val="center"/>
          </w:tcPr>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12 hours</w:t>
            </w:r>
          </w:p>
        </w:tc>
        <w:tc>
          <w:tcPr>
            <w:tcW w:w="1276" w:type="dxa"/>
            <w:vAlign w:val="center"/>
          </w:tcPr>
          <w:p w:rsidR="00F31F93"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2-6 </w:t>
            </w:r>
          </w:p>
          <w:p w:rsidR="00F31F93" w:rsidRPr="00396445" w:rsidRDefault="00F31F93" w:rsidP="007B5E4D">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days</w:t>
            </w:r>
          </w:p>
        </w:tc>
        <w:tc>
          <w:tcPr>
            <w:tcW w:w="1701" w:type="dxa"/>
            <w:vAlign w:val="center"/>
          </w:tcPr>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96445">
              <w:rPr>
                <w:rFonts w:cs="Arial"/>
                <w:sz w:val="20"/>
                <w:szCs w:val="20"/>
              </w:rPr>
              <w:t>4 – 12 mg/L</w:t>
            </w:r>
          </w:p>
        </w:tc>
        <w:tc>
          <w:tcPr>
            <w:tcW w:w="2833" w:type="dxa"/>
            <w:vAlign w:val="center"/>
          </w:tcPr>
          <w:p w:rsidR="00F31F93" w:rsidRDefault="00F31F93" w:rsidP="00134A02">
            <w:pPr>
              <w:pStyle w:val="Default"/>
              <w:jc w:val="center"/>
              <w:cnfStyle w:val="000000000000" w:firstRow="0" w:lastRow="0" w:firstColumn="0" w:lastColumn="0" w:oddVBand="0" w:evenVBand="0" w:oddHBand="0" w:evenHBand="0" w:firstRowFirstColumn="0" w:firstRowLastColumn="0" w:lastRowFirstColumn="0" w:lastRowLastColumn="0"/>
            </w:pPr>
            <w:r>
              <w:rPr>
                <w:sz w:val="22"/>
                <w:szCs w:val="22"/>
              </w:rPr>
              <w:t>Blurred vision, dizziness, ataxia, SIADH, neutropenia, rashes</w:t>
            </w:r>
          </w:p>
        </w:tc>
      </w:tr>
      <w:tr w:rsidR="00F31F93" w:rsidTr="00607997">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235" w:type="dxa"/>
            <w:vAlign w:val="center"/>
          </w:tcPr>
          <w:p w:rsidR="00F31F93" w:rsidRPr="00396445" w:rsidRDefault="00F31F93" w:rsidP="007B5E4D">
            <w:pPr>
              <w:jc w:val="center"/>
              <w:rPr>
                <w:rFonts w:cstheme="minorHAnsi"/>
                <w:sz w:val="20"/>
                <w:szCs w:val="20"/>
              </w:rPr>
            </w:pPr>
            <w:r w:rsidRPr="00396445">
              <w:rPr>
                <w:rFonts w:cstheme="minorHAnsi"/>
                <w:sz w:val="20"/>
                <w:szCs w:val="20"/>
              </w:rPr>
              <w:t xml:space="preserve">Phenytoin </w:t>
            </w:r>
          </w:p>
          <w:p w:rsidR="00F31F93" w:rsidRPr="00396445" w:rsidRDefault="00F31F93" w:rsidP="007B5E4D">
            <w:pPr>
              <w:jc w:val="center"/>
              <w:rPr>
                <w:rFonts w:cstheme="minorHAnsi"/>
                <w:sz w:val="20"/>
                <w:szCs w:val="20"/>
              </w:rPr>
            </w:pPr>
            <w:r w:rsidRPr="00396445">
              <w:rPr>
                <w:rFonts w:cstheme="minorHAnsi"/>
                <w:b w:val="0"/>
                <w:i/>
                <w:sz w:val="20"/>
                <w:szCs w:val="20"/>
              </w:rPr>
              <w:t>(</w:t>
            </w:r>
            <w:proofErr w:type="spellStart"/>
            <w:r w:rsidRPr="00396445">
              <w:rPr>
                <w:rFonts w:cstheme="minorHAnsi"/>
                <w:b w:val="0"/>
                <w:i/>
                <w:sz w:val="20"/>
                <w:szCs w:val="20"/>
              </w:rPr>
              <w:t>Epanutin</w:t>
            </w:r>
            <w:proofErr w:type="spellEnd"/>
            <w:r w:rsidRPr="00396445">
              <w:rPr>
                <w:rFonts w:cstheme="minorHAnsi"/>
                <w:b w:val="0"/>
                <w:i/>
                <w:sz w:val="20"/>
                <w:szCs w:val="20"/>
              </w:rPr>
              <w:t>)</w:t>
            </w:r>
          </w:p>
        </w:tc>
        <w:tc>
          <w:tcPr>
            <w:tcW w:w="2835" w:type="dxa"/>
            <w:vAlign w:val="center"/>
          </w:tcPr>
          <w:p w:rsidR="00F31F93" w:rsidRPr="00396445" w:rsidRDefault="00F31F93" w:rsidP="007B5E4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6445">
              <w:rPr>
                <w:rFonts w:cstheme="minorHAnsi"/>
                <w:sz w:val="20"/>
                <w:szCs w:val="20"/>
              </w:rPr>
              <w:t xml:space="preserve">Directly before next dose </w:t>
            </w:r>
            <w:r w:rsidR="00E00151">
              <w:rPr>
                <w:rFonts w:cstheme="minorHAnsi"/>
                <w:sz w:val="20"/>
                <w:szCs w:val="20"/>
              </w:rPr>
              <w:t xml:space="preserve">      </w:t>
            </w:r>
            <w:r w:rsidRPr="00396445">
              <w:rPr>
                <w:rFonts w:cstheme="minorHAnsi"/>
                <w:sz w:val="20"/>
                <w:szCs w:val="20"/>
              </w:rPr>
              <w:t>(i.e. trough level)</w:t>
            </w:r>
          </w:p>
        </w:tc>
        <w:tc>
          <w:tcPr>
            <w:tcW w:w="1275" w:type="dxa"/>
            <w:vAlign w:val="center"/>
          </w:tcPr>
          <w:p w:rsidR="00F31F93" w:rsidRPr="00396445" w:rsidRDefault="00F31F93" w:rsidP="007B5E4D">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96445">
              <w:rPr>
                <w:rFonts w:cstheme="minorHAnsi"/>
                <w:sz w:val="20"/>
                <w:szCs w:val="20"/>
              </w:rPr>
              <w:t>Serum (brown</w:t>
            </w:r>
            <w:r>
              <w:rPr>
                <w:rFonts w:cstheme="minorHAnsi"/>
                <w:sz w:val="20"/>
                <w:szCs w:val="20"/>
              </w:rPr>
              <w:t xml:space="preserve"> lid</w:t>
            </w:r>
            <w:r w:rsidRPr="00396445">
              <w:rPr>
                <w:rFonts w:cstheme="minorHAnsi"/>
                <w:sz w:val="20"/>
                <w:szCs w:val="20"/>
                <w:vertAlign w:val="superscript"/>
              </w:rPr>
              <w:t>†</w:t>
            </w:r>
            <w:r w:rsidRPr="00396445">
              <w:rPr>
                <w:rFonts w:cstheme="minorHAnsi"/>
                <w:sz w:val="20"/>
                <w:szCs w:val="20"/>
              </w:rPr>
              <w:t>)</w:t>
            </w:r>
          </w:p>
        </w:tc>
        <w:tc>
          <w:tcPr>
            <w:tcW w:w="1418" w:type="dxa"/>
            <w:vAlign w:val="center"/>
          </w:tcPr>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96445">
              <w:rPr>
                <w:rFonts w:asciiTheme="minorHAnsi" w:hAnsiTheme="minorHAnsi" w:cstheme="minorHAnsi"/>
                <w:sz w:val="20"/>
                <w:szCs w:val="20"/>
              </w:rPr>
              <w:t>1 working day</w:t>
            </w:r>
          </w:p>
        </w:tc>
        <w:tc>
          <w:tcPr>
            <w:tcW w:w="850" w:type="dxa"/>
            <w:vAlign w:val="center"/>
          </w:tcPr>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7-42 hours</w:t>
            </w:r>
          </w:p>
        </w:tc>
        <w:tc>
          <w:tcPr>
            <w:tcW w:w="1276" w:type="dxa"/>
            <w:vAlign w:val="center"/>
          </w:tcPr>
          <w:p w:rsidR="00CC24B6"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7-35 </w:t>
            </w:r>
          </w:p>
          <w:p w:rsidR="00F31F93" w:rsidRPr="00396445" w:rsidRDefault="00F31F93" w:rsidP="007B5E4D">
            <w:pPr>
              <w:pStyle w:val="Defaul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days</w:t>
            </w:r>
          </w:p>
        </w:tc>
        <w:tc>
          <w:tcPr>
            <w:tcW w:w="1701" w:type="dxa"/>
            <w:vAlign w:val="center"/>
          </w:tcPr>
          <w:p w:rsidR="00F31F93" w:rsidRPr="00396445" w:rsidRDefault="00F31F93" w:rsidP="007B5E4D">
            <w:pPr>
              <w:jc w:val="center"/>
              <w:cnfStyle w:val="000000100000" w:firstRow="0" w:lastRow="0" w:firstColumn="0" w:lastColumn="0" w:oddVBand="0" w:evenVBand="0" w:oddHBand="1" w:evenHBand="0" w:firstRowFirstColumn="0" w:firstRowLastColumn="0" w:lastRowFirstColumn="0" w:lastRowLastColumn="0"/>
              <w:rPr>
                <w:sz w:val="20"/>
                <w:szCs w:val="20"/>
              </w:rPr>
            </w:pPr>
            <w:r w:rsidRPr="00396445">
              <w:rPr>
                <w:sz w:val="20"/>
                <w:szCs w:val="20"/>
              </w:rPr>
              <w:t>5-20 mg/L</w:t>
            </w:r>
          </w:p>
        </w:tc>
        <w:tc>
          <w:tcPr>
            <w:tcW w:w="2833" w:type="dxa"/>
            <w:vAlign w:val="center"/>
          </w:tcPr>
          <w:p w:rsidR="00F31F93" w:rsidRDefault="00F31F93" w:rsidP="00134A02">
            <w:pPr>
              <w:pStyle w:val="Default"/>
              <w:jc w:val="center"/>
              <w:cnfStyle w:val="000000100000" w:firstRow="0" w:lastRow="0" w:firstColumn="0" w:lastColumn="0" w:oddVBand="0" w:evenVBand="0" w:oddHBand="1" w:evenHBand="0" w:firstRowFirstColumn="0" w:firstRowLastColumn="0" w:lastRowFirstColumn="0" w:lastRowLastColumn="0"/>
            </w:pPr>
            <w:r>
              <w:rPr>
                <w:sz w:val="22"/>
                <w:szCs w:val="22"/>
              </w:rPr>
              <w:t>Seizures, nystagmus, ataxia, nausea, vomiting and tremors.</w:t>
            </w:r>
          </w:p>
        </w:tc>
      </w:tr>
      <w:tr w:rsidR="00F31F93" w:rsidTr="00607997">
        <w:trPr>
          <w:trHeight w:val="762"/>
        </w:trPr>
        <w:tc>
          <w:tcPr>
            <w:cnfStyle w:val="001000000000" w:firstRow="0" w:lastRow="0" w:firstColumn="1" w:lastColumn="0" w:oddVBand="0" w:evenVBand="0" w:oddHBand="0" w:evenHBand="0" w:firstRowFirstColumn="0" w:firstRowLastColumn="0" w:lastRowFirstColumn="0" w:lastRowLastColumn="0"/>
            <w:tcW w:w="2235" w:type="dxa"/>
            <w:vAlign w:val="center"/>
          </w:tcPr>
          <w:p w:rsidR="00F31F93" w:rsidRPr="00396445" w:rsidRDefault="00F31F93" w:rsidP="007B5E4D">
            <w:pPr>
              <w:jc w:val="center"/>
              <w:rPr>
                <w:rFonts w:cstheme="minorHAnsi"/>
                <w:sz w:val="20"/>
                <w:szCs w:val="20"/>
              </w:rPr>
            </w:pPr>
            <w:r w:rsidRPr="00396445">
              <w:rPr>
                <w:rFonts w:cstheme="minorHAnsi"/>
                <w:sz w:val="20"/>
                <w:szCs w:val="20"/>
              </w:rPr>
              <w:t xml:space="preserve">Valproate </w:t>
            </w:r>
          </w:p>
          <w:p w:rsidR="00F31F93" w:rsidRPr="00396445" w:rsidRDefault="00F31F93" w:rsidP="007B5E4D">
            <w:pPr>
              <w:jc w:val="center"/>
              <w:rPr>
                <w:rFonts w:cstheme="minorHAnsi"/>
                <w:sz w:val="20"/>
                <w:szCs w:val="20"/>
              </w:rPr>
            </w:pPr>
            <w:r w:rsidRPr="00396445">
              <w:rPr>
                <w:rFonts w:cstheme="minorHAnsi"/>
                <w:b w:val="0"/>
                <w:i/>
                <w:sz w:val="20"/>
                <w:szCs w:val="20"/>
              </w:rPr>
              <w:t xml:space="preserve">(Depakote, </w:t>
            </w:r>
            <w:proofErr w:type="spellStart"/>
            <w:r w:rsidRPr="00396445">
              <w:rPr>
                <w:rFonts w:cstheme="minorHAnsi"/>
                <w:b w:val="0"/>
                <w:i/>
                <w:sz w:val="20"/>
                <w:szCs w:val="20"/>
              </w:rPr>
              <w:t>Convulex</w:t>
            </w:r>
            <w:proofErr w:type="spellEnd"/>
            <w:r w:rsidRPr="00396445">
              <w:rPr>
                <w:rFonts w:cstheme="minorHAnsi"/>
                <w:b w:val="0"/>
                <w:i/>
                <w:sz w:val="20"/>
                <w:szCs w:val="20"/>
              </w:rPr>
              <w:t>)</w:t>
            </w:r>
          </w:p>
        </w:tc>
        <w:tc>
          <w:tcPr>
            <w:tcW w:w="2835" w:type="dxa"/>
            <w:vAlign w:val="center"/>
          </w:tcPr>
          <w:p w:rsidR="00E00151"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sz w:val="20"/>
                <w:szCs w:val="20"/>
              </w:rPr>
              <w:t xml:space="preserve">Directly before next dose </w:t>
            </w:r>
            <w:r w:rsidR="00E00151">
              <w:rPr>
                <w:rFonts w:cstheme="minorHAnsi"/>
                <w:sz w:val="20"/>
                <w:szCs w:val="20"/>
              </w:rPr>
              <w:t xml:space="preserve">     </w:t>
            </w:r>
            <w:r w:rsidRPr="00396445">
              <w:rPr>
                <w:rFonts w:cstheme="minorHAnsi"/>
                <w:sz w:val="20"/>
                <w:szCs w:val="20"/>
              </w:rPr>
              <w:t xml:space="preserve">(i.e. trough level). </w:t>
            </w:r>
          </w:p>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sz w:val="20"/>
                <w:szCs w:val="20"/>
              </w:rPr>
              <w:t xml:space="preserve">Note that valproate measurements are NOT useful for assessing clinical efficacy, but may assist in investigations of overdose or compliance.  </w:t>
            </w:r>
          </w:p>
        </w:tc>
        <w:tc>
          <w:tcPr>
            <w:tcW w:w="1275" w:type="dxa"/>
            <w:vAlign w:val="center"/>
          </w:tcPr>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sz w:val="20"/>
                <w:szCs w:val="20"/>
              </w:rPr>
              <w:t>Serum (brown</w:t>
            </w:r>
            <w:r>
              <w:rPr>
                <w:rFonts w:cstheme="minorHAnsi"/>
                <w:sz w:val="20"/>
                <w:szCs w:val="20"/>
              </w:rPr>
              <w:t xml:space="preserve"> lid</w:t>
            </w:r>
            <w:r w:rsidRPr="00396445">
              <w:rPr>
                <w:rFonts w:cstheme="minorHAnsi"/>
                <w:sz w:val="20"/>
                <w:szCs w:val="20"/>
                <w:vertAlign w:val="superscript"/>
              </w:rPr>
              <w:t>†</w:t>
            </w:r>
            <w:r w:rsidRPr="00396445">
              <w:rPr>
                <w:rFonts w:cstheme="minorHAnsi"/>
                <w:sz w:val="20"/>
                <w:szCs w:val="20"/>
              </w:rPr>
              <w:t>)</w:t>
            </w:r>
          </w:p>
        </w:tc>
        <w:tc>
          <w:tcPr>
            <w:tcW w:w="1418" w:type="dxa"/>
            <w:vAlign w:val="center"/>
          </w:tcPr>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445">
              <w:rPr>
                <w:rFonts w:cstheme="minorHAnsi"/>
                <w:sz w:val="20"/>
                <w:szCs w:val="20"/>
              </w:rPr>
              <w:t>1 working day</w:t>
            </w:r>
          </w:p>
        </w:tc>
        <w:tc>
          <w:tcPr>
            <w:tcW w:w="850" w:type="dxa"/>
            <w:vAlign w:val="center"/>
          </w:tcPr>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8-20 hours</w:t>
            </w:r>
          </w:p>
        </w:tc>
        <w:tc>
          <w:tcPr>
            <w:tcW w:w="1276" w:type="dxa"/>
            <w:vAlign w:val="center"/>
          </w:tcPr>
          <w:p w:rsidR="00F31F93"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2-4 </w:t>
            </w:r>
          </w:p>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days</w:t>
            </w:r>
          </w:p>
        </w:tc>
        <w:tc>
          <w:tcPr>
            <w:tcW w:w="1701" w:type="dxa"/>
            <w:vAlign w:val="center"/>
          </w:tcPr>
          <w:p w:rsidR="00F31F93" w:rsidRDefault="00F31F93" w:rsidP="007B5E4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96445">
              <w:rPr>
                <w:sz w:val="20"/>
                <w:szCs w:val="20"/>
              </w:rPr>
              <w:t>50-100 mg/L</w:t>
            </w:r>
          </w:p>
          <w:p w:rsidR="00F31F93" w:rsidRPr="00396445" w:rsidRDefault="00F31F93" w:rsidP="007B5E4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96445">
              <w:rPr>
                <w:sz w:val="20"/>
                <w:szCs w:val="20"/>
              </w:rPr>
              <w:t>To be used as a guide only (no well-established therapeutic range).</w:t>
            </w:r>
          </w:p>
        </w:tc>
        <w:tc>
          <w:tcPr>
            <w:tcW w:w="2833" w:type="dxa"/>
            <w:vAlign w:val="center"/>
          </w:tcPr>
          <w:p w:rsidR="00F31F93" w:rsidRDefault="00F31F93" w:rsidP="00134A02">
            <w:pPr>
              <w:jc w:val="center"/>
              <w:cnfStyle w:val="000000000000" w:firstRow="0" w:lastRow="0" w:firstColumn="0" w:lastColumn="0" w:oddVBand="0" w:evenVBand="0" w:oddHBand="0" w:evenHBand="0" w:firstRowFirstColumn="0" w:firstRowLastColumn="0" w:lastRowFirstColumn="0" w:lastRowLastColumn="0"/>
            </w:pPr>
            <w:r>
              <w:t>Nausea, vomiting, confusion, dizziness, ataxia, hallucination, respiratory depression, tachycardia, hypotension, hypo- or hyperthermia</w:t>
            </w:r>
          </w:p>
        </w:tc>
      </w:tr>
    </w:tbl>
    <w:p w:rsidR="007B5E4D" w:rsidRDefault="007B5E4D" w:rsidP="00256652">
      <w:pPr>
        <w:spacing w:before="120" w:after="0"/>
      </w:pPr>
      <w:r>
        <w:rPr>
          <w:rFonts w:cstheme="minorHAnsi"/>
        </w:rPr>
        <w:t>†</w:t>
      </w:r>
      <w:r w:rsidRPr="00396445">
        <w:t>Please note that tube colours only apply if u</w:t>
      </w:r>
      <w:r>
        <w:t xml:space="preserve">sing </w:t>
      </w:r>
      <w:proofErr w:type="spellStart"/>
      <w:r>
        <w:t>Sarstedt</w:t>
      </w:r>
      <w:proofErr w:type="spellEnd"/>
      <w:r>
        <w:t xml:space="preserve"> </w:t>
      </w:r>
      <w:proofErr w:type="spellStart"/>
      <w:r>
        <w:t>Vacuettes</w:t>
      </w:r>
      <w:proofErr w:type="spellEnd"/>
      <w:r>
        <w:t xml:space="preserve"> for specimen collection</w:t>
      </w:r>
      <w:r w:rsidRPr="00396445">
        <w:t>.</w:t>
      </w:r>
    </w:p>
    <w:p w:rsidR="001B3849" w:rsidRDefault="001B3849" w:rsidP="001B3849">
      <w:pPr>
        <w:spacing w:before="120" w:after="0"/>
        <w:rPr>
          <w:rFonts w:cstheme="minorHAnsi"/>
          <w:b/>
          <w:i/>
          <w:color w:val="31849B" w:themeColor="accent5" w:themeShade="BF"/>
          <w:sz w:val="24"/>
          <w:szCs w:val="24"/>
        </w:rPr>
      </w:pPr>
      <w:r w:rsidRPr="001B3849">
        <w:rPr>
          <w:rFonts w:cstheme="minorHAnsi"/>
          <w:b/>
          <w:i/>
          <w:color w:val="31849B" w:themeColor="accent5" w:themeShade="BF"/>
          <w:sz w:val="24"/>
          <w:szCs w:val="24"/>
        </w:rPr>
        <w:lastRenderedPageBreak/>
        <w:t xml:space="preserve">For further information, or to discuss testing of a drug which is not featured in Table 1, please contact the duty biochemist: </w:t>
      </w:r>
      <w:proofErr w:type="gramStart"/>
      <w:r w:rsidRPr="001B3849">
        <w:rPr>
          <w:rFonts w:cstheme="minorHAnsi"/>
          <w:b/>
          <w:i/>
          <w:color w:val="31849B" w:themeColor="accent5" w:themeShade="BF"/>
          <w:sz w:val="24"/>
          <w:szCs w:val="24"/>
        </w:rPr>
        <w:t>01904  726366</w:t>
      </w:r>
      <w:proofErr w:type="gramEnd"/>
    </w:p>
    <w:p w:rsidR="00607997" w:rsidRDefault="00607997" w:rsidP="002B26BB">
      <w:pPr>
        <w:rPr>
          <w:b/>
          <w:color w:val="31849B" w:themeColor="accent5" w:themeShade="BF"/>
        </w:rPr>
      </w:pPr>
    </w:p>
    <w:p w:rsidR="002B26BB" w:rsidRPr="00943457" w:rsidRDefault="002B26BB" w:rsidP="002B26BB">
      <w:pPr>
        <w:rPr>
          <w:b/>
        </w:rPr>
      </w:pPr>
      <w:r w:rsidRPr="00C0444D">
        <w:rPr>
          <w:b/>
          <w:color w:val="31849B" w:themeColor="accent5" w:themeShade="BF"/>
        </w:rPr>
        <w:t xml:space="preserve">When are therapeutic drug levels required? </w:t>
      </w:r>
    </w:p>
    <w:p w:rsidR="002B26BB" w:rsidRDefault="002B26BB" w:rsidP="002B26BB">
      <w:r>
        <w:t>For the majority of medications in routine use, measurement of serum drug levels is not required. However, drug levels may provide a useful adjunct to clinical features for medications with one or more of the following characteristics:</w:t>
      </w:r>
    </w:p>
    <w:p w:rsidR="002B26BB" w:rsidRDefault="002B26BB" w:rsidP="002B26BB">
      <w:pPr>
        <w:pStyle w:val="ListParagraph"/>
        <w:numPr>
          <w:ilvl w:val="0"/>
          <w:numId w:val="1"/>
        </w:numPr>
      </w:pPr>
      <w:r>
        <w:t>There is a narrow interval between therapeutic and toxic concentrations of the drug</w:t>
      </w:r>
    </w:p>
    <w:p w:rsidR="002B26BB" w:rsidRDefault="002B26BB" w:rsidP="002B26BB">
      <w:pPr>
        <w:pStyle w:val="ListParagraph"/>
        <w:numPr>
          <w:ilvl w:val="0"/>
          <w:numId w:val="1"/>
        </w:numPr>
      </w:pPr>
      <w:r>
        <w:t>Drug efficacy cannot be gauged using routine clinical assessments (e.g. blood pressure, liver function testing, visible symptoms)</w:t>
      </w:r>
    </w:p>
    <w:p w:rsidR="002B26BB" w:rsidRDefault="002B26BB" w:rsidP="002B26BB">
      <w:pPr>
        <w:pStyle w:val="ListParagraph"/>
        <w:numPr>
          <w:ilvl w:val="0"/>
          <w:numId w:val="1"/>
        </w:numPr>
      </w:pPr>
      <w:r>
        <w:t xml:space="preserve">The </w:t>
      </w:r>
      <w:r w:rsidRPr="00966DD3">
        <w:t>dose</w:t>
      </w:r>
      <w:r>
        <w:t xml:space="preserve"> of drug given does not correlate well with the resulting concentration of drug in serum (drug absorption or activity is easily affected by other factors e.g. other medications, diet, illness)</w:t>
      </w:r>
    </w:p>
    <w:p w:rsidR="002B26BB" w:rsidRDefault="002B26BB" w:rsidP="002B26BB">
      <w:pPr>
        <w:pStyle w:val="ListParagraph"/>
        <w:numPr>
          <w:ilvl w:val="0"/>
          <w:numId w:val="1"/>
        </w:numPr>
      </w:pPr>
      <w:r>
        <w:t xml:space="preserve">The concentration of drug in serum correlates well with its therapeutic (or toxic) effects on the body, and can be interpreted easily with the use of target ranges. </w:t>
      </w:r>
    </w:p>
    <w:p w:rsidR="002B26BB" w:rsidRDefault="002B26BB" w:rsidP="002B26BB">
      <w:pPr>
        <w:pStyle w:val="ListParagraph"/>
        <w:numPr>
          <w:ilvl w:val="0"/>
          <w:numId w:val="1"/>
        </w:numPr>
      </w:pPr>
      <w:r>
        <w:t xml:space="preserve">A reliable laboratory test is available for the measurement of serum drug levels. </w:t>
      </w:r>
    </w:p>
    <w:p w:rsidR="002B26BB" w:rsidRDefault="002B26BB" w:rsidP="002B26BB">
      <w:r>
        <w:t xml:space="preserve">Table 1 </w:t>
      </w:r>
      <w:proofErr w:type="gramStart"/>
      <w:r>
        <w:t>shows</w:t>
      </w:r>
      <w:proofErr w:type="gramEnd"/>
      <w:r>
        <w:t xml:space="preserve"> a list of medications which meet these criteria and are tested in the biochemistry department (Therapeutic Drugs for Monitoring or TDMs).</w:t>
      </w:r>
    </w:p>
    <w:p w:rsidR="002B26BB" w:rsidRPr="00C0444D" w:rsidRDefault="002B26BB" w:rsidP="002B26BB">
      <w:pPr>
        <w:rPr>
          <w:b/>
          <w:color w:val="31849B" w:themeColor="accent5" w:themeShade="BF"/>
        </w:rPr>
      </w:pPr>
      <w:r w:rsidRPr="00C0444D">
        <w:rPr>
          <w:b/>
          <w:color w:val="31849B" w:themeColor="accent5" w:themeShade="BF"/>
        </w:rPr>
        <w:t>Specimen Collection Requirements</w:t>
      </w:r>
    </w:p>
    <w:p w:rsidR="002B26BB" w:rsidRDefault="002B26BB" w:rsidP="002B26BB">
      <w:pPr>
        <w:pStyle w:val="Default"/>
        <w:rPr>
          <w:bCs/>
          <w:sz w:val="23"/>
          <w:szCs w:val="23"/>
        </w:rPr>
      </w:pPr>
      <w:r>
        <w:rPr>
          <w:sz w:val="23"/>
          <w:szCs w:val="23"/>
        </w:rPr>
        <w:t xml:space="preserve">Because drugs are absorbed, metabolised and cleared by the body, the concentrations of a drug in a serum sample will depend on the time interval between ingestion of a drug and collection of a sample (i.e. how long the body has had to ‘process’ the drug). As this could complicate the interpretation of results, the laboratory provides target ranges derived by measuring serum drug concentrations at specific time intervals after administration. </w:t>
      </w:r>
      <w:r w:rsidRPr="00966DD3">
        <w:rPr>
          <w:b/>
          <w:sz w:val="23"/>
          <w:szCs w:val="23"/>
        </w:rPr>
        <w:t>The ranges are therefore</w:t>
      </w:r>
      <w:r>
        <w:rPr>
          <w:b/>
          <w:bCs/>
          <w:sz w:val="23"/>
          <w:szCs w:val="23"/>
        </w:rPr>
        <w:t xml:space="preserve"> are only applicable when samples have been collected after these intervals. </w:t>
      </w:r>
      <w:r>
        <w:rPr>
          <w:bCs/>
          <w:sz w:val="23"/>
          <w:szCs w:val="23"/>
        </w:rPr>
        <w:t xml:space="preserve">Table 1 shows the amount of time that you </w:t>
      </w:r>
      <w:r w:rsidRPr="00966DD3">
        <w:rPr>
          <w:b/>
          <w:bCs/>
          <w:sz w:val="23"/>
          <w:szCs w:val="23"/>
          <w:u w:val="single"/>
        </w:rPr>
        <w:t>MUST</w:t>
      </w:r>
      <w:r>
        <w:rPr>
          <w:bCs/>
          <w:sz w:val="23"/>
          <w:szCs w:val="23"/>
        </w:rPr>
        <w:t xml:space="preserve"> leave between dosing and sample collection in order to be able to apply the laboratory range with confidence. </w:t>
      </w:r>
    </w:p>
    <w:p w:rsidR="002B26BB" w:rsidRPr="00C0444D" w:rsidRDefault="002B26BB" w:rsidP="002B26BB">
      <w:pPr>
        <w:pStyle w:val="Default"/>
        <w:rPr>
          <w:color w:val="31849B" w:themeColor="accent5" w:themeShade="BF"/>
        </w:rPr>
      </w:pPr>
    </w:p>
    <w:p w:rsidR="002B26BB" w:rsidRPr="00C0444D" w:rsidRDefault="002B26BB" w:rsidP="002B26BB">
      <w:pPr>
        <w:rPr>
          <w:b/>
          <w:color w:val="31849B" w:themeColor="accent5" w:themeShade="BF"/>
        </w:rPr>
      </w:pPr>
      <w:r w:rsidRPr="00C0444D">
        <w:rPr>
          <w:b/>
          <w:color w:val="31849B" w:themeColor="accent5" w:themeShade="BF"/>
        </w:rPr>
        <w:t xml:space="preserve">Interpretation of Laboratory Results </w:t>
      </w:r>
    </w:p>
    <w:p w:rsidR="002B26BB" w:rsidRDefault="002B26BB" w:rsidP="00FF7484">
      <w:r>
        <w:t>The drugs tested by the laboratory require monitoring because they typically behave differently in different patients; some patients have been known to display toxic effects at near ‘-normal’ drug c</w:t>
      </w:r>
      <w:r w:rsidR="00607997">
        <w:t>oncentrations.  This means that</w:t>
      </w:r>
      <w:r>
        <w:t xml:space="preserve"> </w:t>
      </w:r>
      <w:r w:rsidRPr="00D31474">
        <w:rPr>
          <w:b/>
        </w:rPr>
        <w:t xml:space="preserve">all TDM results MUST be interpreted in the context of clinical symptoms. </w:t>
      </w:r>
      <w:r>
        <w:t xml:space="preserve"> The target ranges in table 1 provide a guide to assist dose adjustment but should not supplant clinical judgement.</w:t>
      </w:r>
    </w:p>
    <w:sectPr w:rsidR="002B26BB" w:rsidSect="00CC6A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911EF"/>
    <w:multiLevelType w:val="hybridMultilevel"/>
    <w:tmpl w:val="F9D61B54"/>
    <w:lvl w:ilvl="0" w:tplc="AAF6146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4"/>
    <w:rsid w:val="00030F49"/>
    <w:rsid w:val="001508FD"/>
    <w:rsid w:val="00157900"/>
    <w:rsid w:val="001B3849"/>
    <w:rsid w:val="00220C42"/>
    <w:rsid w:val="00256652"/>
    <w:rsid w:val="0026333D"/>
    <w:rsid w:val="002B26BB"/>
    <w:rsid w:val="002B2CEC"/>
    <w:rsid w:val="002B3E4F"/>
    <w:rsid w:val="002C7BBD"/>
    <w:rsid w:val="00301B85"/>
    <w:rsid w:val="00323938"/>
    <w:rsid w:val="0033350C"/>
    <w:rsid w:val="00396445"/>
    <w:rsid w:val="00432EF8"/>
    <w:rsid w:val="00486022"/>
    <w:rsid w:val="004D2480"/>
    <w:rsid w:val="005656EB"/>
    <w:rsid w:val="00607997"/>
    <w:rsid w:val="0068556F"/>
    <w:rsid w:val="006C0F55"/>
    <w:rsid w:val="006F12B5"/>
    <w:rsid w:val="00741F27"/>
    <w:rsid w:val="00743448"/>
    <w:rsid w:val="00774EA6"/>
    <w:rsid w:val="00780E55"/>
    <w:rsid w:val="007B22B9"/>
    <w:rsid w:val="007B5E4D"/>
    <w:rsid w:val="007D045B"/>
    <w:rsid w:val="007D6C14"/>
    <w:rsid w:val="007E243B"/>
    <w:rsid w:val="007E76CA"/>
    <w:rsid w:val="007F7627"/>
    <w:rsid w:val="008A4E9B"/>
    <w:rsid w:val="008B0AB0"/>
    <w:rsid w:val="00923092"/>
    <w:rsid w:val="00943457"/>
    <w:rsid w:val="00966DD3"/>
    <w:rsid w:val="009C3F8B"/>
    <w:rsid w:val="009D19D5"/>
    <w:rsid w:val="00A56511"/>
    <w:rsid w:val="00B10872"/>
    <w:rsid w:val="00BA6D55"/>
    <w:rsid w:val="00BC5DCF"/>
    <w:rsid w:val="00BC6B71"/>
    <w:rsid w:val="00BE12A1"/>
    <w:rsid w:val="00C0444D"/>
    <w:rsid w:val="00C12018"/>
    <w:rsid w:val="00CA56C2"/>
    <w:rsid w:val="00CC24B6"/>
    <w:rsid w:val="00CC6ACF"/>
    <w:rsid w:val="00CF72DE"/>
    <w:rsid w:val="00D10BF9"/>
    <w:rsid w:val="00D31474"/>
    <w:rsid w:val="00D33942"/>
    <w:rsid w:val="00D37DF8"/>
    <w:rsid w:val="00D434E3"/>
    <w:rsid w:val="00D57E32"/>
    <w:rsid w:val="00DB403A"/>
    <w:rsid w:val="00DB7D31"/>
    <w:rsid w:val="00DF1F33"/>
    <w:rsid w:val="00E00151"/>
    <w:rsid w:val="00E011A5"/>
    <w:rsid w:val="00E33227"/>
    <w:rsid w:val="00E35986"/>
    <w:rsid w:val="00E649F0"/>
    <w:rsid w:val="00E750FB"/>
    <w:rsid w:val="00EB16F6"/>
    <w:rsid w:val="00F03F42"/>
    <w:rsid w:val="00F27037"/>
    <w:rsid w:val="00F31F93"/>
    <w:rsid w:val="00F457C5"/>
    <w:rsid w:val="00F477E4"/>
    <w:rsid w:val="00FA2F13"/>
    <w:rsid w:val="00FB23DF"/>
    <w:rsid w:val="00FC7D6F"/>
    <w:rsid w:val="00FF7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94345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23938"/>
    <w:pPr>
      <w:ind w:left="720"/>
      <w:contextualSpacing/>
    </w:pPr>
  </w:style>
  <w:style w:type="paragraph" w:customStyle="1" w:styleId="Default">
    <w:name w:val="Default"/>
    <w:rsid w:val="00432EF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566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94345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23938"/>
    <w:pPr>
      <w:ind w:left="720"/>
      <w:contextualSpacing/>
    </w:pPr>
  </w:style>
  <w:style w:type="paragraph" w:customStyle="1" w:styleId="Default">
    <w:name w:val="Default"/>
    <w:rsid w:val="00432EF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5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y0rkadm1n</dc:creator>
  <cp:lastModifiedBy>Lovie, Rick</cp:lastModifiedBy>
  <cp:revision>2</cp:revision>
  <cp:lastPrinted>2020-10-29T11:31:00Z</cp:lastPrinted>
  <dcterms:created xsi:type="dcterms:W3CDTF">2020-11-05T12:27:00Z</dcterms:created>
  <dcterms:modified xsi:type="dcterms:W3CDTF">2020-11-05T12:27:00Z</dcterms:modified>
</cp:coreProperties>
</file>